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E588E7">
      <w:pPr>
        <w:widowControl/>
        <w:ind w:firstLine="0" w:firstLineChars="0"/>
        <w:jc w:val="center"/>
        <w:outlineLvl w:val="0"/>
        <w:rPr>
          <w:b/>
          <w:bCs/>
          <w:sz w:val="44"/>
          <w:szCs w:val="44"/>
        </w:rPr>
      </w:pPr>
      <w:bookmarkStart w:id="0" w:name="_Toc7852"/>
      <w:bookmarkStart w:id="1" w:name="_Toc9267"/>
      <w:bookmarkStart w:id="2" w:name="_Toc28708"/>
      <w:bookmarkStart w:id="3" w:name="_Toc18108"/>
      <w:bookmarkStart w:id="4" w:name="_Toc17913"/>
    </w:p>
    <w:p w14:paraId="1ED2A1CB">
      <w:pPr>
        <w:widowControl/>
        <w:ind w:firstLine="0" w:firstLineChars="0"/>
        <w:jc w:val="center"/>
        <w:outlineLvl w:val="0"/>
        <w:rPr>
          <w:b/>
          <w:bCs/>
          <w:sz w:val="44"/>
          <w:szCs w:val="44"/>
        </w:rPr>
      </w:pPr>
    </w:p>
    <w:p w14:paraId="33354CC7">
      <w:pPr>
        <w:widowControl/>
        <w:ind w:firstLine="0" w:firstLineChars="0"/>
        <w:jc w:val="center"/>
        <w:outlineLvl w:val="0"/>
        <w:rPr>
          <w:b/>
          <w:bCs/>
          <w:sz w:val="44"/>
          <w:szCs w:val="44"/>
        </w:rPr>
      </w:pPr>
    </w:p>
    <w:p w14:paraId="20BB79E1">
      <w:pPr>
        <w:widowControl/>
        <w:ind w:firstLine="0" w:firstLineChars="0"/>
        <w:jc w:val="center"/>
        <w:outlineLvl w:val="0"/>
        <w:rPr>
          <w:b/>
          <w:bCs/>
          <w:sz w:val="44"/>
          <w:szCs w:val="44"/>
        </w:rPr>
      </w:pPr>
      <w:r>
        <w:rPr>
          <w:b/>
          <w:bCs/>
          <w:sz w:val="44"/>
          <w:szCs w:val="44"/>
        </w:rPr>
        <w:t>挥发性有机物污染防治技术指南</w:t>
      </w:r>
    </w:p>
    <w:p w14:paraId="4B46E971">
      <w:pPr>
        <w:widowControl/>
        <w:ind w:firstLine="0" w:firstLineChars="0"/>
        <w:jc w:val="center"/>
        <w:outlineLvl w:val="0"/>
        <w:rPr>
          <w:b/>
          <w:bCs/>
          <w:sz w:val="44"/>
          <w:szCs w:val="44"/>
        </w:rPr>
      </w:pPr>
      <w:r>
        <w:rPr>
          <w:b/>
          <w:bCs/>
          <w:sz w:val="44"/>
          <w:szCs w:val="44"/>
        </w:rPr>
        <w:t>第1部分：表面涂装行业</w:t>
      </w:r>
      <w:bookmarkEnd w:id="0"/>
      <w:bookmarkEnd w:id="1"/>
      <w:bookmarkEnd w:id="2"/>
      <w:bookmarkEnd w:id="3"/>
      <w:bookmarkEnd w:id="4"/>
      <w:bookmarkStart w:id="506" w:name="_GoBack"/>
      <w:r>
        <w:rPr>
          <w:b/>
          <w:bCs/>
          <w:sz w:val="44"/>
          <w:szCs w:val="44"/>
        </w:rPr>
        <w:t>（试行）</w:t>
      </w:r>
      <w:bookmarkEnd w:id="506"/>
    </w:p>
    <w:p w14:paraId="7A768304">
      <w:pPr>
        <w:widowControl/>
        <w:ind w:firstLine="0" w:firstLineChars="0"/>
        <w:jc w:val="center"/>
        <w:rPr>
          <w:b/>
          <w:bCs/>
          <w:sz w:val="72"/>
          <w:szCs w:val="72"/>
        </w:rPr>
      </w:pPr>
      <w:r>
        <w:rPr>
          <w:b/>
          <w:bCs/>
          <w:sz w:val="44"/>
          <w:szCs w:val="44"/>
        </w:rPr>
        <w:t>编制说明</w:t>
      </w:r>
    </w:p>
    <w:p w14:paraId="569ECE0E">
      <w:pPr>
        <w:spacing w:line="300" w:lineRule="auto"/>
        <w:ind w:firstLine="199" w:firstLineChars="66"/>
        <w:jc w:val="center"/>
        <w:rPr>
          <w:b/>
          <w:sz w:val="30"/>
          <w:szCs w:val="30"/>
        </w:rPr>
      </w:pPr>
    </w:p>
    <w:p w14:paraId="2553DA3C">
      <w:pPr>
        <w:spacing w:line="300" w:lineRule="auto"/>
        <w:ind w:firstLine="199" w:firstLineChars="66"/>
        <w:jc w:val="center"/>
        <w:rPr>
          <w:b/>
          <w:sz w:val="30"/>
          <w:szCs w:val="30"/>
        </w:rPr>
      </w:pPr>
    </w:p>
    <w:p w14:paraId="1CE7FFE6">
      <w:pPr>
        <w:spacing w:line="300" w:lineRule="auto"/>
        <w:ind w:firstLine="199" w:firstLineChars="66"/>
        <w:jc w:val="center"/>
        <w:rPr>
          <w:b/>
          <w:sz w:val="30"/>
          <w:szCs w:val="30"/>
        </w:rPr>
      </w:pPr>
    </w:p>
    <w:p w14:paraId="0B50D4B4">
      <w:pPr>
        <w:spacing w:line="300" w:lineRule="auto"/>
        <w:ind w:firstLine="199" w:firstLineChars="66"/>
        <w:jc w:val="center"/>
        <w:rPr>
          <w:b/>
          <w:sz w:val="30"/>
          <w:szCs w:val="30"/>
        </w:rPr>
      </w:pPr>
    </w:p>
    <w:p w14:paraId="36FCAF12">
      <w:pPr>
        <w:spacing w:line="300" w:lineRule="auto"/>
        <w:ind w:firstLine="199" w:firstLineChars="66"/>
        <w:jc w:val="center"/>
        <w:rPr>
          <w:b/>
          <w:sz w:val="30"/>
          <w:szCs w:val="30"/>
        </w:rPr>
      </w:pPr>
    </w:p>
    <w:p w14:paraId="16D5096D">
      <w:pPr>
        <w:spacing w:line="300" w:lineRule="auto"/>
        <w:ind w:firstLine="199" w:firstLineChars="66"/>
        <w:jc w:val="center"/>
        <w:rPr>
          <w:b/>
          <w:sz w:val="30"/>
          <w:szCs w:val="30"/>
        </w:rPr>
      </w:pPr>
    </w:p>
    <w:p w14:paraId="05D763CE">
      <w:pPr>
        <w:spacing w:line="300" w:lineRule="auto"/>
        <w:ind w:firstLine="199" w:firstLineChars="66"/>
        <w:jc w:val="center"/>
        <w:rPr>
          <w:b/>
          <w:sz w:val="30"/>
          <w:szCs w:val="30"/>
        </w:rPr>
      </w:pPr>
    </w:p>
    <w:p w14:paraId="331C9B12">
      <w:pPr>
        <w:spacing w:line="300" w:lineRule="auto"/>
        <w:ind w:firstLine="199" w:firstLineChars="66"/>
        <w:jc w:val="center"/>
        <w:rPr>
          <w:b/>
          <w:sz w:val="30"/>
          <w:szCs w:val="30"/>
        </w:rPr>
      </w:pPr>
    </w:p>
    <w:p w14:paraId="6B75D515">
      <w:pPr>
        <w:spacing w:line="300" w:lineRule="auto"/>
        <w:ind w:firstLine="199" w:firstLineChars="66"/>
        <w:jc w:val="center"/>
        <w:rPr>
          <w:b/>
          <w:sz w:val="30"/>
          <w:szCs w:val="30"/>
        </w:rPr>
      </w:pPr>
    </w:p>
    <w:p w14:paraId="227C74C7">
      <w:pPr>
        <w:spacing w:line="300" w:lineRule="auto"/>
        <w:ind w:firstLine="199" w:firstLineChars="66"/>
        <w:jc w:val="center"/>
        <w:rPr>
          <w:b/>
          <w:sz w:val="30"/>
          <w:szCs w:val="30"/>
        </w:rPr>
      </w:pPr>
    </w:p>
    <w:p w14:paraId="1B98AA5F">
      <w:pPr>
        <w:spacing w:line="300" w:lineRule="auto"/>
        <w:ind w:firstLine="199" w:firstLineChars="66"/>
        <w:jc w:val="center"/>
        <w:rPr>
          <w:b/>
          <w:sz w:val="30"/>
          <w:szCs w:val="30"/>
        </w:rPr>
      </w:pPr>
    </w:p>
    <w:p w14:paraId="4ACCBB34">
      <w:pPr>
        <w:spacing w:line="300" w:lineRule="auto"/>
        <w:ind w:firstLine="199" w:firstLineChars="66"/>
        <w:jc w:val="center"/>
        <w:rPr>
          <w:b/>
          <w:sz w:val="30"/>
          <w:szCs w:val="30"/>
        </w:rPr>
      </w:pPr>
    </w:p>
    <w:p w14:paraId="688BF611">
      <w:pPr>
        <w:spacing w:line="300" w:lineRule="auto"/>
        <w:ind w:firstLine="199" w:firstLineChars="66"/>
        <w:jc w:val="center"/>
        <w:rPr>
          <w:b/>
          <w:sz w:val="30"/>
          <w:szCs w:val="30"/>
        </w:rPr>
      </w:pPr>
    </w:p>
    <w:p w14:paraId="3275E3A3">
      <w:pPr>
        <w:spacing w:line="300" w:lineRule="auto"/>
        <w:ind w:firstLine="199" w:firstLineChars="66"/>
        <w:jc w:val="center"/>
        <w:rPr>
          <w:b/>
          <w:sz w:val="30"/>
          <w:szCs w:val="30"/>
        </w:rPr>
      </w:pPr>
    </w:p>
    <w:p w14:paraId="6FAAADB8">
      <w:pPr>
        <w:spacing w:line="300" w:lineRule="auto"/>
        <w:ind w:firstLine="199" w:firstLineChars="66"/>
        <w:jc w:val="center"/>
        <w:rPr>
          <w:b/>
          <w:sz w:val="30"/>
          <w:szCs w:val="30"/>
        </w:rPr>
      </w:pPr>
    </w:p>
    <w:p w14:paraId="01D74CF4">
      <w:pPr>
        <w:spacing w:line="300" w:lineRule="auto"/>
        <w:ind w:firstLine="199" w:firstLineChars="66"/>
        <w:jc w:val="center"/>
        <w:rPr>
          <w:b/>
          <w:sz w:val="30"/>
          <w:szCs w:val="30"/>
        </w:rPr>
      </w:pPr>
    </w:p>
    <w:p w14:paraId="3BAFEFB4">
      <w:pPr>
        <w:spacing w:line="300" w:lineRule="auto"/>
        <w:ind w:firstLine="0" w:firstLineChars="0"/>
        <w:jc w:val="center"/>
        <w:outlineLvl w:val="0"/>
        <w:rPr>
          <w:b/>
          <w:sz w:val="32"/>
          <w:szCs w:val="32"/>
        </w:rPr>
      </w:pPr>
      <w:bookmarkStart w:id="5" w:name="_Toc20080"/>
      <w:bookmarkStart w:id="6" w:name="_Toc5417"/>
      <w:bookmarkStart w:id="7" w:name="_Toc22068"/>
      <w:bookmarkStart w:id="8" w:name="_Toc12456"/>
      <w:bookmarkStart w:id="9" w:name="_Toc16093"/>
      <w:r>
        <w:rPr>
          <w:b/>
          <w:sz w:val="32"/>
          <w:szCs w:val="32"/>
        </w:rPr>
        <w:t>《挥发性有机物污染防治技术指南（试行）</w:t>
      </w:r>
      <w:bookmarkEnd w:id="5"/>
      <w:bookmarkEnd w:id="6"/>
      <w:bookmarkEnd w:id="7"/>
      <w:bookmarkEnd w:id="8"/>
      <w:bookmarkEnd w:id="9"/>
    </w:p>
    <w:p w14:paraId="678B95AC">
      <w:pPr>
        <w:spacing w:line="300" w:lineRule="auto"/>
        <w:ind w:firstLine="0" w:firstLineChars="0"/>
        <w:jc w:val="center"/>
        <w:outlineLvl w:val="0"/>
        <w:rPr>
          <w:b/>
          <w:sz w:val="32"/>
          <w:szCs w:val="32"/>
        </w:rPr>
      </w:pPr>
      <w:bookmarkStart w:id="10" w:name="_Toc26582"/>
      <w:bookmarkStart w:id="11" w:name="_Toc15486"/>
      <w:bookmarkStart w:id="12" w:name="_Toc22106"/>
      <w:bookmarkStart w:id="13" w:name="_Toc7664"/>
      <w:bookmarkStart w:id="14" w:name="_Toc14533"/>
      <w:r>
        <w:rPr>
          <w:b/>
          <w:sz w:val="32"/>
          <w:szCs w:val="32"/>
        </w:rPr>
        <w:t>第1部分：表面涂装行业》编制组</w:t>
      </w:r>
      <w:bookmarkEnd w:id="10"/>
      <w:bookmarkEnd w:id="11"/>
      <w:bookmarkEnd w:id="12"/>
      <w:bookmarkEnd w:id="13"/>
      <w:bookmarkEnd w:id="14"/>
    </w:p>
    <w:p w14:paraId="70F9CAB0">
      <w:pPr>
        <w:spacing w:line="300" w:lineRule="auto"/>
        <w:ind w:firstLine="643"/>
        <w:jc w:val="center"/>
        <w:rPr>
          <w:b/>
          <w:sz w:val="32"/>
          <w:szCs w:val="32"/>
        </w:rPr>
      </w:pPr>
      <w:r>
        <w:rPr>
          <w:b/>
          <w:sz w:val="32"/>
          <w:szCs w:val="32"/>
        </w:rPr>
        <w:t>202</w:t>
      </w:r>
      <w:r>
        <w:rPr>
          <w:rFonts w:hint="eastAsia"/>
          <w:b/>
          <w:sz w:val="32"/>
          <w:szCs w:val="32"/>
        </w:rPr>
        <w:t>5</w:t>
      </w:r>
      <w:r>
        <w:rPr>
          <w:b/>
          <w:sz w:val="32"/>
          <w:szCs w:val="32"/>
        </w:rPr>
        <w:t>年</w:t>
      </w:r>
      <w:r>
        <w:rPr>
          <w:rFonts w:hint="eastAsia"/>
          <w:b/>
          <w:sz w:val="32"/>
          <w:szCs w:val="32"/>
        </w:rPr>
        <w:t>5</w:t>
      </w:r>
      <w:r>
        <w:rPr>
          <w:b/>
          <w:sz w:val="32"/>
          <w:szCs w:val="32"/>
        </w:rPr>
        <w:t>月</w:t>
      </w:r>
    </w:p>
    <w:p w14:paraId="39E1AEA9">
      <w:pPr>
        <w:spacing w:line="300" w:lineRule="auto"/>
        <w:ind w:firstLine="643"/>
        <w:jc w:val="center"/>
        <w:rPr>
          <w:b/>
          <w:sz w:val="32"/>
          <w:szCs w:val="32"/>
        </w:rPr>
        <w:sectPr>
          <w:footerReference r:id="rId5" w:type="default"/>
          <w:pgSz w:w="11907" w:h="16840"/>
          <w:pgMar w:top="1440" w:right="1800" w:bottom="1440" w:left="1800" w:header="851" w:footer="992" w:gutter="0"/>
          <w:pgNumType w:start="1"/>
          <w:cols w:space="720" w:num="1"/>
          <w:docGrid w:linePitch="326" w:charSpace="0"/>
        </w:sectPr>
      </w:pPr>
    </w:p>
    <w:p w14:paraId="21F65274">
      <w:pPr>
        <w:spacing w:line="300" w:lineRule="auto"/>
        <w:ind w:firstLine="643"/>
        <w:jc w:val="center"/>
        <w:rPr>
          <w:b/>
          <w:sz w:val="32"/>
          <w:szCs w:val="32"/>
        </w:rPr>
      </w:pPr>
    </w:p>
    <w:p w14:paraId="0D3BBAC3">
      <w:pPr>
        <w:ind w:firstLine="560"/>
        <w:rPr>
          <w:kern w:val="0"/>
          <w:sz w:val="28"/>
          <w:szCs w:val="28"/>
          <w:highlight w:val="yellow"/>
        </w:rPr>
      </w:pPr>
    </w:p>
    <w:p w14:paraId="4778807D">
      <w:pPr>
        <w:ind w:firstLine="560"/>
        <w:rPr>
          <w:kern w:val="0"/>
          <w:sz w:val="28"/>
          <w:szCs w:val="28"/>
          <w:highlight w:val="yellow"/>
        </w:rPr>
      </w:pPr>
    </w:p>
    <w:p w14:paraId="74E61758">
      <w:pPr>
        <w:pStyle w:val="47"/>
        <w:spacing w:after="0"/>
        <w:ind w:firstLine="643"/>
        <w:rPr>
          <w:b/>
          <w:sz w:val="32"/>
        </w:rPr>
        <w:sectPr>
          <w:footerReference r:id="rId6" w:type="default"/>
          <w:pgSz w:w="11907" w:h="16840"/>
          <w:pgMar w:top="1440" w:right="1800" w:bottom="1440" w:left="1800" w:header="851" w:footer="992" w:gutter="0"/>
          <w:pgNumType w:start="1"/>
          <w:cols w:space="720" w:num="1"/>
          <w:docGrid w:linePitch="326" w:charSpace="0"/>
        </w:sectPr>
      </w:pPr>
    </w:p>
    <w:p w14:paraId="3A1A864D">
      <w:pPr>
        <w:pStyle w:val="47"/>
        <w:spacing w:after="0"/>
        <w:ind w:firstLine="643"/>
        <w:rPr>
          <w:b/>
          <w:sz w:val="44"/>
        </w:rPr>
      </w:pPr>
      <w:r>
        <w:rPr>
          <w:b/>
          <w:sz w:val="32"/>
        </w:rPr>
        <w:t>目录</w:t>
      </w:r>
    </w:p>
    <w:sdt>
      <w:sdtPr>
        <w:rPr>
          <w:sz w:val="21"/>
        </w:rPr>
        <w:id w:val="147458323"/>
        <w15:color w:val="DBDBDB"/>
        <w:docPartObj>
          <w:docPartGallery w:val="Table of Contents"/>
          <w:docPartUnique/>
        </w:docPartObj>
      </w:sdtPr>
      <w:sdtEndPr>
        <w:rPr>
          <w:sz w:val="21"/>
        </w:rPr>
      </w:sdtEndPr>
      <w:sdtContent>
        <w:p w14:paraId="269F1137">
          <w:pPr>
            <w:ind w:firstLine="420"/>
            <w:jc w:val="center"/>
            <w:rPr>
              <w:b/>
            </w:rPr>
          </w:pPr>
          <w:r>
            <w:fldChar w:fldCharType="begin"/>
          </w:r>
          <w:r>
            <w:instrText xml:space="preserve">TOC \o "1-2" \h \u </w:instrText>
          </w:r>
          <w:r>
            <w:fldChar w:fldCharType="separate"/>
          </w:r>
        </w:p>
        <w:p w14:paraId="3F642B45">
          <w:pPr>
            <w:pStyle w:val="15"/>
            <w:tabs>
              <w:tab w:val="right" w:leader="hyphen" w:pos="8307"/>
              <w:tab w:val="clear" w:pos="8737"/>
            </w:tabs>
          </w:pPr>
          <w:r>
            <w:fldChar w:fldCharType="begin"/>
          </w:r>
          <w:r>
            <w:instrText xml:space="preserve"> HYPERLINK \l "_Toc31273" </w:instrText>
          </w:r>
          <w:r>
            <w:fldChar w:fldCharType="separate"/>
          </w:r>
          <w:r>
            <w:rPr>
              <w:szCs w:val="21"/>
            </w:rPr>
            <w:t>1项目背景</w:t>
          </w:r>
          <w:r>
            <w:tab/>
          </w:r>
          <w:r>
            <w:fldChar w:fldCharType="begin"/>
          </w:r>
          <w:r>
            <w:instrText xml:space="preserve"> PAGEREF _Toc31273 \h </w:instrText>
          </w:r>
          <w:r>
            <w:fldChar w:fldCharType="separate"/>
          </w:r>
          <w:r>
            <w:t>1</w:t>
          </w:r>
          <w:r>
            <w:fldChar w:fldCharType="end"/>
          </w:r>
          <w:r>
            <w:fldChar w:fldCharType="end"/>
          </w:r>
        </w:p>
        <w:p w14:paraId="00DCCA11">
          <w:pPr>
            <w:pStyle w:val="16"/>
            <w:tabs>
              <w:tab w:val="right" w:leader="hyphen" w:pos="8307"/>
              <w:tab w:val="clear" w:pos="8737"/>
            </w:tabs>
          </w:pPr>
          <w:r>
            <w:fldChar w:fldCharType="begin"/>
          </w:r>
          <w:r>
            <w:instrText xml:space="preserve"> HYPERLINK \l "_Toc10873" </w:instrText>
          </w:r>
          <w:r>
            <w:fldChar w:fldCharType="separate"/>
          </w:r>
          <w:r>
            <w:t>1.1任务来源</w:t>
          </w:r>
          <w:r>
            <w:tab/>
          </w:r>
          <w:r>
            <w:fldChar w:fldCharType="begin"/>
          </w:r>
          <w:r>
            <w:instrText xml:space="preserve"> PAGEREF _Toc10873 \h </w:instrText>
          </w:r>
          <w:r>
            <w:fldChar w:fldCharType="separate"/>
          </w:r>
          <w:r>
            <w:t>1</w:t>
          </w:r>
          <w:r>
            <w:fldChar w:fldCharType="end"/>
          </w:r>
          <w:r>
            <w:fldChar w:fldCharType="end"/>
          </w:r>
        </w:p>
        <w:p w14:paraId="3140930B">
          <w:pPr>
            <w:pStyle w:val="16"/>
            <w:tabs>
              <w:tab w:val="right" w:leader="hyphen" w:pos="8307"/>
              <w:tab w:val="clear" w:pos="8737"/>
            </w:tabs>
          </w:pPr>
          <w:r>
            <w:fldChar w:fldCharType="begin"/>
          </w:r>
          <w:r>
            <w:instrText xml:space="preserve"> HYPERLINK \l "_Toc13984" </w:instrText>
          </w:r>
          <w:r>
            <w:fldChar w:fldCharType="separate"/>
          </w:r>
          <w:r>
            <w:t>1.2工作背景</w:t>
          </w:r>
          <w:r>
            <w:tab/>
          </w:r>
          <w:r>
            <w:fldChar w:fldCharType="begin"/>
          </w:r>
          <w:r>
            <w:instrText xml:space="preserve"> PAGEREF _Toc13984 \h </w:instrText>
          </w:r>
          <w:r>
            <w:fldChar w:fldCharType="separate"/>
          </w:r>
          <w:r>
            <w:t>1</w:t>
          </w:r>
          <w:r>
            <w:fldChar w:fldCharType="end"/>
          </w:r>
          <w:r>
            <w:fldChar w:fldCharType="end"/>
          </w:r>
        </w:p>
        <w:p w14:paraId="1555CE90">
          <w:pPr>
            <w:pStyle w:val="16"/>
            <w:tabs>
              <w:tab w:val="right" w:leader="hyphen" w:pos="8307"/>
              <w:tab w:val="clear" w:pos="8737"/>
            </w:tabs>
          </w:pPr>
          <w:r>
            <w:fldChar w:fldCharType="begin"/>
          </w:r>
          <w:r>
            <w:instrText xml:space="preserve"> HYPERLINK \l "_Toc7569" </w:instrText>
          </w:r>
          <w:r>
            <w:fldChar w:fldCharType="separate"/>
          </w:r>
          <w:r>
            <w:t>1.</w:t>
          </w:r>
          <w:r>
            <w:rPr>
              <w:rFonts w:hint="eastAsia"/>
            </w:rPr>
            <w:t>3</w:t>
          </w:r>
          <w:r>
            <w:t>工作过程</w:t>
          </w:r>
          <w:r>
            <w:tab/>
          </w:r>
          <w:r>
            <w:fldChar w:fldCharType="begin"/>
          </w:r>
          <w:r>
            <w:instrText xml:space="preserve"> PAGEREF _Toc7569 \h </w:instrText>
          </w:r>
          <w:r>
            <w:fldChar w:fldCharType="separate"/>
          </w:r>
          <w:r>
            <w:t>2</w:t>
          </w:r>
          <w:r>
            <w:fldChar w:fldCharType="end"/>
          </w:r>
          <w:r>
            <w:fldChar w:fldCharType="end"/>
          </w:r>
        </w:p>
        <w:p w14:paraId="17E226D2">
          <w:pPr>
            <w:pStyle w:val="16"/>
            <w:tabs>
              <w:tab w:val="right" w:leader="hyphen" w:pos="8307"/>
              <w:tab w:val="clear" w:pos="8737"/>
            </w:tabs>
            <w:ind w:firstLine="0" w:firstLineChars="0"/>
          </w:pPr>
          <w:r>
            <w:fldChar w:fldCharType="begin"/>
          </w:r>
          <w:r>
            <w:instrText xml:space="preserve"> HYPERLINK \l "_Toc24191" </w:instrText>
          </w:r>
          <w:r>
            <w:fldChar w:fldCharType="separate"/>
          </w:r>
          <w:r>
            <w:rPr>
              <w:szCs w:val="32"/>
            </w:rPr>
            <w:t>2.标准制定的必要性</w:t>
          </w:r>
          <w:r>
            <w:tab/>
          </w:r>
          <w:r>
            <w:fldChar w:fldCharType="begin"/>
          </w:r>
          <w:r>
            <w:instrText xml:space="preserve"> PAGEREF _Toc24191 \h </w:instrText>
          </w:r>
          <w:r>
            <w:fldChar w:fldCharType="separate"/>
          </w:r>
          <w:r>
            <w:t>3</w:t>
          </w:r>
          <w:r>
            <w:fldChar w:fldCharType="end"/>
          </w:r>
          <w:r>
            <w:fldChar w:fldCharType="end"/>
          </w:r>
        </w:p>
        <w:p w14:paraId="59F80078">
          <w:pPr>
            <w:pStyle w:val="16"/>
            <w:tabs>
              <w:tab w:val="right" w:leader="hyphen" w:pos="8307"/>
              <w:tab w:val="clear" w:pos="8737"/>
            </w:tabs>
          </w:pPr>
          <w:r>
            <w:fldChar w:fldCharType="begin"/>
          </w:r>
          <w:r>
            <w:instrText xml:space="preserve"> HYPERLINK \l "_Toc12966" </w:instrText>
          </w:r>
          <w:r>
            <w:fldChar w:fldCharType="separate"/>
          </w:r>
          <w:r>
            <w:t>2.1江西省大气污染防控形势发展需要</w:t>
          </w:r>
          <w:r>
            <w:tab/>
          </w:r>
          <w:r>
            <w:fldChar w:fldCharType="begin"/>
          </w:r>
          <w:r>
            <w:instrText xml:space="preserve"> PAGEREF _Toc12966 \h </w:instrText>
          </w:r>
          <w:r>
            <w:fldChar w:fldCharType="separate"/>
          </w:r>
          <w:r>
            <w:t>3</w:t>
          </w:r>
          <w:r>
            <w:fldChar w:fldCharType="end"/>
          </w:r>
          <w:r>
            <w:fldChar w:fldCharType="end"/>
          </w:r>
        </w:p>
        <w:p w14:paraId="1A36EA4E">
          <w:pPr>
            <w:pStyle w:val="16"/>
            <w:tabs>
              <w:tab w:val="right" w:leader="hyphen" w:pos="8307"/>
              <w:tab w:val="clear" w:pos="8737"/>
            </w:tabs>
          </w:pPr>
          <w:r>
            <w:fldChar w:fldCharType="begin"/>
          </w:r>
          <w:r>
            <w:instrText xml:space="preserve"> HYPERLINK \l "_Toc18643" </w:instrText>
          </w:r>
          <w:r>
            <w:fldChar w:fldCharType="separate"/>
          </w:r>
          <w:r>
            <w:t>2.2引导行业可持续发展的需要</w:t>
          </w:r>
          <w:r>
            <w:tab/>
          </w:r>
          <w:r>
            <w:fldChar w:fldCharType="begin"/>
          </w:r>
          <w:r>
            <w:instrText xml:space="preserve"> PAGEREF _Toc18643 \h </w:instrText>
          </w:r>
          <w:r>
            <w:fldChar w:fldCharType="separate"/>
          </w:r>
          <w:r>
            <w:t>3</w:t>
          </w:r>
          <w:r>
            <w:fldChar w:fldCharType="end"/>
          </w:r>
          <w:r>
            <w:fldChar w:fldCharType="end"/>
          </w:r>
        </w:p>
        <w:p w14:paraId="47C760F1">
          <w:pPr>
            <w:pStyle w:val="16"/>
            <w:tabs>
              <w:tab w:val="right" w:leader="hyphen" w:pos="8307"/>
              <w:tab w:val="clear" w:pos="8737"/>
            </w:tabs>
          </w:pPr>
          <w:r>
            <w:fldChar w:fldCharType="begin"/>
          </w:r>
          <w:r>
            <w:instrText xml:space="preserve"> HYPERLINK \l "_Toc2067" </w:instrText>
          </w:r>
          <w:r>
            <w:fldChar w:fldCharType="separate"/>
          </w:r>
          <w:r>
            <w:t>2.3完善我省环境保护标准体系的需要</w:t>
          </w:r>
          <w:r>
            <w:tab/>
          </w:r>
          <w:r>
            <w:fldChar w:fldCharType="begin"/>
          </w:r>
          <w:r>
            <w:instrText xml:space="preserve"> PAGEREF _Toc2067 \h </w:instrText>
          </w:r>
          <w:r>
            <w:fldChar w:fldCharType="separate"/>
          </w:r>
          <w:r>
            <w:t>4</w:t>
          </w:r>
          <w:r>
            <w:fldChar w:fldCharType="end"/>
          </w:r>
          <w:r>
            <w:fldChar w:fldCharType="end"/>
          </w:r>
        </w:p>
        <w:p w14:paraId="46DED6A4">
          <w:pPr>
            <w:pStyle w:val="16"/>
            <w:tabs>
              <w:tab w:val="right" w:leader="hyphen" w:pos="8307"/>
              <w:tab w:val="clear" w:pos="8737"/>
            </w:tabs>
          </w:pPr>
          <w:r>
            <w:fldChar w:fldCharType="begin"/>
          </w:r>
          <w:r>
            <w:instrText xml:space="preserve"> HYPERLINK \l "_Toc22508" </w:instrText>
          </w:r>
          <w:r>
            <w:fldChar w:fldCharType="separate"/>
          </w:r>
          <w:r>
            <w:t>2.4污染治理水平提高的需要</w:t>
          </w:r>
          <w:r>
            <w:tab/>
          </w:r>
          <w:r>
            <w:fldChar w:fldCharType="begin"/>
          </w:r>
          <w:r>
            <w:instrText xml:space="preserve"> PAGEREF _Toc22508 \h </w:instrText>
          </w:r>
          <w:r>
            <w:fldChar w:fldCharType="separate"/>
          </w:r>
          <w:r>
            <w:t>4</w:t>
          </w:r>
          <w:r>
            <w:fldChar w:fldCharType="end"/>
          </w:r>
          <w:r>
            <w:fldChar w:fldCharType="end"/>
          </w:r>
        </w:p>
        <w:p w14:paraId="6DDD2A4A">
          <w:pPr>
            <w:pStyle w:val="15"/>
            <w:tabs>
              <w:tab w:val="right" w:leader="hyphen" w:pos="8307"/>
              <w:tab w:val="clear" w:pos="8737"/>
            </w:tabs>
          </w:pPr>
          <w:r>
            <w:fldChar w:fldCharType="begin"/>
          </w:r>
          <w:r>
            <w:instrText xml:space="preserve"> HYPERLINK \l "_Toc18120" </w:instrText>
          </w:r>
          <w:r>
            <w:fldChar w:fldCharType="separate"/>
          </w:r>
          <w:r>
            <w:rPr>
              <w:szCs w:val="21"/>
            </w:rPr>
            <w:t>3.</w:t>
          </w:r>
          <w:r>
            <w:rPr>
              <w:rFonts w:hint="eastAsia"/>
              <w:szCs w:val="21"/>
            </w:rPr>
            <w:t>行业生产与污染防治技术现状</w:t>
          </w:r>
          <w:r>
            <w:tab/>
          </w:r>
          <w:r>
            <w:fldChar w:fldCharType="begin"/>
          </w:r>
          <w:r>
            <w:instrText xml:space="preserve"> PAGEREF _Toc18120 \h </w:instrText>
          </w:r>
          <w:r>
            <w:fldChar w:fldCharType="separate"/>
          </w:r>
          <w:r>
            <w:t>5</w:t>
          </w:r>
          <w:r>
            <w:fldChar w:fldCharType="end"/>
          </w:r>
          <w:r>
            <w:fldChar w:fldCharType="end"/>
          </w:r>
        </w:p>
        <w:p w14:paraId="58AC5B7B">
          <w:pPr>
            <w:pStyle w:val="16"/>
            <w:tabs>
              <w:tab w:val="right" w:leader="hyphen" w:pos="8307"/>
              <w:tab w:val="clear" w:pos="8737"/>
            </w:tabs>
          </w:pPr>
          <w:r>
            <w:fldChar w:fldCharType="begin"/>
          </w:r>
          <w:r>
            <w:instrText xml:space="preserve"> HYPERLINK \l "_Toc2413" </w:instrText>
          </w:r>
          <w:r>
            <w:fldChar w:fldCharType="separate"/>
          </w:r>
          <w:r>
            <w:t>3.1表面涂装行业发展概况</w:t>
          </w:r>
          <w:r>
            <w:tab/>
          </w:r>
          <w:r>
            <w:fldChar w:fldCharType="begin"/>
          </w:r>
          <w:r>
            <w:instrText xml:space="preserve"> PAGEREF _Toc2413 \h </w:instrText>
          </w:r>
          <w:r>
            <w:fldChar w:fldCharType="separate"/>
          </w:r>
          <w:r>
            <w:t>5</w:t>
          </w:r>
          <w:r>
            <w:fldChar w:fldCharType="end"/>
          </w:r>
          <w:r>
            <w:fldChar w:fldCharType="end"/>
          </w:r>
        </w:p>
        <w:p w14:paraId="673E6E99">
          <w:pPr>
            <w:pStyle w:val="16"/>
            <w:tabs>
              <w:tab w:val="right" w:leader="hyphen" w:pos="8307"/>
              <w:tab w:val="clear" w:pos="8737"/>
            </w:tabs>
          </w:pPr>
          <w:r>
            <w:fldChar w:fldCharType="begin"/>
          </w:r>
          <w:r>
            <w:instrText xml:space="preserve"> HYPERLINK \l "_Toc21636" </w:instrText>
          </w:r>
          <w:r>
            <w:fldChar w:fldCharType="separate"/>
          </w:r>
          <w:r>
            <w:t>3.2表面涂装行业VOCs污染防治概况</w:t>
          </w:r>
          <w:r>
            <w:tab/>
          </w:r>
          <w:r>
            <w:fldChar w:fldCharType="begin"/>
          </w:r>
          <w:r>
            <w:instrText xml:space="preserve"> PAGEREF _Toc21636 \h </w:instrText>
          </w:r>
          <w:r>
            <w:fldChar w:fldCharType="separate"/>
          </w:r>
          <w:r>
            <w:t>9</w:t>
          </w:r>
          <w:r>
            <w:fldChar w:fldCharType="end"/>
          </w:r>
          <w:r>
            <w:fldChar w:fldCharType="end"/>
          </w:r>
        </w:p>
        <w:p w14:paraId="6125D984">
          <w:pPr>
            <w:pStyle w:val="15"/>
            <w:tabs>
              <w:tab w:val="right" w:leader="hyphen" w:pos="8307"/>
              <w:tab w:val="clear" w:pos="8737"/>
            </w:tabs>
          </w:pPr>
          <w:r>
            <w:fldChar w:fldCharType="begin"/>
          </w:r>
          <w:r>
            <w:instrText xml:space="preserve"> HYPERLINK \l "_Toc14363" </w:instrText>
          </w:r>
          <w:r>
            <w:fldChar w:fldCharType="separate"/>
          </w:r>
          <w:r>
            <w:rPr>
              <w:rFonts w:hint="eastAsia"/>
              <w:kern w:val="44"/>
              <w:szCs w:val="21"/>
            </w:rPr>
            <w:t>4相关标准概况</w:t>
          </w:r>
          <w:r>
            <w:tab/>
          </w:r>
          <w:r>
            <w:fldChar w:fldCharType="begin"/>
          </w:r>
          <w:r>
            <w:instrText xml:space="preserve"> PAGEREF _Toc14363 \h </w:instrText>
          </w:r>
          <w:r>
            <w:fldChar w:fldCharType="separate"/>
          </w:r>
          <w:r>
            <w:t>13</w:t>
          </w:r>
          <w:r>
            <w:fldChar w:fldCharType="end"/>
          </w:r>
          <w:r>
            <w:fldChar w:fldCharType="end"/>
          </w:r>
        </w:p>
        <w:p w14:paraId="0416996A">
          <w:pPr>
            <w:pStyle w:val="16"/>
            <w:tabs>
              <w:tab w:val="right" w:leader="hyphen" w:pos="8307"/>
              <w:tab w:val="clear" w:pos="8737"/>
            </w:tabs>
          </w:pPr>
          <w:r>
            <w:fldChar w:fldCharType="begin"/>
          </w:r>
          <w:r>
            <w:instrText xml:space="preserve"> HYPERLINK \l "_Toc1267" </w:instrText>
          </w:r>
          <w:r>
            <w:fldChar w:fldCharType="separate"/>
          </w:r>
          <w:r>
            <w:t>4.1</w:t>
          </w:r>
          <w:r>
            <w:rPr>
              <w:rFonts w:hint="eastAsia"/>
            </w:rPr>
            <w:t>国外相关技术标准</w:t>
          </w:r>
          <w:r>
            <w:tab/>
          </w:r>
          <w:r>
            <w:fldChar w:fldCharType="begin"/>
          </w:r>
          <w:r>
            <w:instrText xml:space="preserve"> PAGEREF _Toc1267 \h </w:instrText>
          </w:r>
          <w:r>
            <w:fldChar w:fldCharType="separate"/>
          </w:r>
          <w:r>
            <w:t>13</w:t>
          </w:r>
          <w:r>
            <w:fldChar w:fldCharType="end"/>
          </w:r>
          <w:r>
            <w:fldChar w:fldCharType="end"/>
          </w:r>
        </w:p>
        <w:p w14:paraId="72081FAB">
          <w:pPr>
            <w:pStyle w:val="16"/>
            <w:tabs>
              <w:tab w:val="right" w:leader="hyphen" w:pos="8307"/>
              <w:tab w:val="clear" w:pos="8737"/>
            </w:tabs>
          </w:pPr>
          <w:r>
            <w:fldChar w:fldCharType="begin"/>
          </w:r>
          <w:r>
            <w:instrText xml:space="preserve"> HYPERLINK \l "_Toc9476" </w:instrText>
          </w:r>
          <w:r>
            <w:fldChar w:fldCharType="separate"/>
          </w:r>
          <w:r>
            <w:t>4.2</w:t>
          </w:r>
          <w:r>
            <w:rPr>
              <w:rFonts w:hint="eastAsia"/>
            </w:rPr>
            <w:t>国内相关</w:t>
          </w:r>
          <w:r>
            <w:t>技术标准</w:t>
          </w:r>
          <w:r>
            <w:tab/>
          </w:r>
          <w:r>
            <w:fldChar w:fldCharType="begin"/>
          </w:r>
          <w:r>
            <w:instrText xml:space="preserve"> PAGEREF _Toc9476 \h </w:instrText>
          </w:r>
          <w:r>
            <w:fldChar w:fldCharType="separate"/>
          </w:r>
          <w:r>
            <w:t>13</w:t>
          </w:r>
          <w:r>
            <w:fldChar w:fldCharType="end"/>
          </w:r>
          <w:r>
            <w:fldChar w:fldCharType="end"/>
          </w:r>
        </w:p>
        <w:p w14:paraId="3CB3CABF">
          <w:pPr>
            <w:pStyle w:val="15"/>
            <w:tabs>
              <w:tab w:val="right" w:leader="hyphen" w:pos="8307"/>
              <w:tab w:val="clear" w:pos="8737"/>
            </w:tabs>
          </w:pPr>
          <w:r>
            <w:fldChar w:fldCharType="begin"/>
          </w:r>
          <w:r>
            <w:instrText xml:space="preserve"> HYPERLINK \l "_Toc10420" </w:instrText>
          </w:r>
          <w:r>
            <w:fldChar w:fldCharType="separate"/>
          </w:r>
          <w:r>
            <w:rPr>
              <w:szCs w:val="21"/>
            </w:rPr>
            <w:t>5.标准编制总体思路及技术路线</w:t>
          </w:r>
          <w:r>
            <w:tab/>
          </w:r>
          <w:r>
            <w:fldChar w:fldCharType="begin"/>
          </w:r>
          <w:r>
            <w:instrText xml:space="preserve"> PAGEREF _Toc10420 \h </w:instrText>
          </w:r>
          <w:r>
            <w:fldChar w:fldCharType="separate"/>
          </w:r>
          <w:r>
            <w:t>16</w:t>
          </w:r>
          <w:r>
            <w:fldChar w:fldCharType="end"/>
          </w:r>
          <w:r>
            <w:fldChar w:fldCharType="end"/>
          </w:r>
        </w:p>
        <w:p w14:paraId="5875E351">
          <w:pPr>
            <w:pStyle w:val="16"/>
            <w:tabs>
              <w:tab w:val="right" w:leader="hyphen" w:pos="8307"/>
              <w:tab w:val="clear" w:pos="8737"/>
            </w:tabs>
          </w:pPr>
          <w:r>
            <w:fldChar w:fldCharType="begin"/>
          </w:r>
          <w:r>
            <w:instrText xml:space="preserve"> HYPERLINK \l "_Toc19181" </w:instrText>
          </w:r>
          <w:r>
            <w:fldChar w:fldCharType="separate"/>
          </w:r>
          <w:r>
            <w:rPr>
              <w:szCs w:val="32"/>
            </w:rPr>
            <w:t>5.1标准编制总体思路</w:t>
          </w:r>
          <w:r>
            <w:tab/>
          </w:r>
          <w:r>
            <w:fldChar w:fldCharType="begin"/>
          </w:r>
          <w:r>
            <w:instrText xml:space="preserve"> PAGEREF _Toc19181 \h </w:instrText>
          </w:r>
          <w:r>
            <w:fldChar w:fldCharType="separate"/>
          </w:r>
          <w:r>
            <w:t>16</w:t>
          </w:r>
          <w:r>
            <w:fldChar w:fldCharType="end"/>
          </w:r>
          <w:r>
            <w:fldChar w:fldCharType="end"/>
          </w:r>
        </w:p>
        <w:p w14:paraId="3D9E83C7">
          <w:pPr>
            <w:pStyle w:val="16"/>
            <w:tabs>
              <w:tab w:val="right" w:leader="hyphen" w:pos="8307"/>
              <w:tab w:val="clear" w:pos="8737"/>
            </w:tabs>
          </w:pPr>
          <w:r>
            <w:fldChar w:fldCharType="begin"/>
          </w:r>
          <w:r>
            <w:instrText xml:space="preserve"> HYPERLINK \l "_Toc4496" </w:instrText>
          </w:r>
          <w:r>
            <w:fldChar w:fldCharType="separate"/>
          </w:r>
          <w:r>
            <w:rPr>
              <w:szCs w:val="32"/>
            </w:rPr>
            <w:t>5.2标准制定原则</w:t>
          </w:r>
          <w:r>
            <w:tab/>
          </w:r>
          <w:r>
            <w:fldChar w:fldCharType="begin"/>
          </w:r>
          <w:r>
            <w:instrText xml:space="preserve"> PAGEREF _Toc4496 \h </w:instrText>
          </w:r>
          <w:r>
            <w:fldChar w:fldCharType="separate"/>
          </w:r>
          <w:r>
            <w:t>16</w:t>
          </w:r>
          <w:r>
            <w:fldChar w:fldCharType="end"/>
          </w:r>
          <w:r>
            <w:fldChar w:fldCharType="end"/>
          </w:r>
        </w:p>
        <w:p w14:paraId="05322B9C">
          <w:pPr>
            <w:pStyle w:val="16"/>
            <w:tabs>
              <w:tab w:val="right" w:leader="hyphen" w:pos="8307"/>
              <w:tab w:val="clear" w:pos="8737"/>
            </w:tabs>
          </w:pPr>
          <w:r>
            <w:fldChar w:fldCharType="begin"/>
          </w:r>
          <w:r>
            <w:instrText xml:space="preserve"> HYPERLINK \l "_Toc22064" </w:instrText>
          </w:r>
          <w:r>
            <w:fldChar w:fldCharType="separate"/>
          </w:r>
          <w:r>
            <w:rPr>
              <w:szCs w:val="32"/>
            </w:rPr>
            <w:t>5.3标准编制技术路线</w:t>
          </w:r>
          <w:r>
            <w:tab/>
          </w:r>
          <w:r>
            <w:fldChar w:fldCharType="begin"/>
          </w:r>
          <w:r>
            <w:instrText xml:space="preserve"> PAGEREF _Toc22064 \h </w:instrText>
          </w:r>
          <w:r>
            <w:fldChar w:fldCharType="separate"/>
          </w:r>
          <w:r>
            <w:t>17</w:t>
          </w:r>
          <w:r>
            <w:fldChar w:fldCharType="end"/>
          </w:r>
          <w:r>
            <w:fldChar w:fldCharType="end"/>
          </w:r>
        </w:p>
        <w:p w14:paraId="70BFA9A1">
          <w:pPr>
            <w:pStyle w:val="15"/>
            <w:tabs>
              <w:tab w:val="right" w:leader="hyphen" w:pos="8307"/>
              <w:tab w:val="clear" w:pos="8737"/>
            </w:tabs>
          </w:pPr>
          <w:r>
            <w:fldChar w:fldCharType="begin"/>
          </w:r>
          <w:r>
            <w:instrText xml:space="preserve"> HYPERLINK \l "_Toc7529" </w:instrText>
          </w:r>
          <w:r>
            <w:fldChar w:fldCharType="separate"/>
          </w:r>
          <w:r>
            <w:rPr>
              <w:szCs w:val="21"/>
            </w:rPr>
            <w:t>6.标准主要技术内容</w:t>
          </w:r>
          <w:r>
            <w:tab/>
          </w:r>
          <w:r>
            <w:fldChar w:fldCharType="begin"/>
          </w:r>
          <w:r>
            <w:instrText xml:space="preserve"> PAGEREF _Toc7529 \h </w:instrText>
          </w:r>
          <w:r>
            <w:fldChar w:fldCharType="separate"/>
          </w:r>
          <w:r>
            <w:t>18</w:t>
          </w:r>
          <w:r>
            <w:fldChar w:fldCharType="end"/>
          </w:r>
          <w:r>
            <w:fldChar w:fldCharType="end"/>
          </w:r>
        </w:p>
        <w:p w14:paraId="03DB7AE8">
          <w:pPr>
            <w:pStyle w:val="16"/>
            <w:tabs>
              <w:tab w:val="right" w:leader="hyphen" w:pos="8307"/>
              <w:tab w:val="clear" w:pos="8737"/>
            </w:tabs>
          </w:pPr>
          <w:r>
            <w:fldChar w:fldCharType="begin"/>
          </w:r>
          <w:r>
            <w:instrText xml:space="preserve"> HYPERLINK \l "_Toc11364" </w:instrText>
          </w:r>
          <w:r>
            <w:fldChar w:fldCharType="separate"/>
          </w:r>
          <w:r>
            <w:t>6.1适用范围</w:t>
          </w:r>
          <w:r>
            <w:tab/>
          </w:r>
          <w:r>
            <w:fldChar w:fldCharType="begin"/>
          </w:r>
          <w:r>
            <w:instrText xml:space="preserve"> PAGEREF _Toc11364 \h </w:instrText>
          </w:r>
          <w:r>
            <w:fldChar w:fldCharType="separate"/>
          </w:r>
          <w:r>
            <w:t>18</w:t>
          </w:r>
          <w:r>
            <w:fldChar w:fldCharType="end"/>
          </w:r>
          <w:r>
            <w:fldChar w:fldCharType="end"/>
          </w:r>
        </w:p>
        <w:p w14:paraId="1606BBAC">
          <w:pPr>
            <w:pStyle w:val="16"/>
            <w:tabs>
              <w:tab w:val="right" w:leader="hyphen" w:pos="8307"/>
              <w:tab w:val="clear" w:pos="8737"/>
            </w:tabs>
          </w:pPr>
          <w:r>
            <w:fldChar w:fldCharType="begin"/>
          </w:r>
          <w:r>
            <w:instrText xml:space="preserve"> HYPERLINK \l "_Toc9646" </w:instrText>
          </w:r>
          <w:r>
            <w:fldChar w:fldCharType="separate"/>
          </w:r>
          <w:r>
            <w:t>6.2规范性引用文件</w:t>
          </w:r>
          <w:r>
            <w:tab/>
          </w:r>
          <w:r>
            <w:fldChar w:fldCharType="begin"/>
          </w:r>
          <w:r>
            <w:instrText xml:space="preserve"> PAGEREF _Toc9646 \h </w:instrText>
          </w:r>
          <w:r>
            <w:fldChar w:fldCharType="separate"/>
          </w:r>
          <w:r>
            <w:t>18</w:t>
          </w:r>
          <w:r>
            <w:fldChar w:fldCharType="end"/>
          </w:r>
          <w:r>
            <w:fldChar w:fldCharType="end"/>
          </w:r>
        </w:p>
        <w:p w14:paraId="1B5A8177">
          <w:pPr>
            <w:pStyle w:val="16"/>
            <w:tabs>
              <w:tab w:val="right" w:leader="hyphen" w:pos="8307"/>
              <w:tab w:val="clear" w:pos="8737"/>
            </w:tabs>
          </w:pPr>
          <w:r>
            <w:fldChar w:fldCharType="begin"/>
          </w:r>
          <w:r>
            <w:instrText xml:space="preserve"> HYPERLINK \l "_Toc2705" </w:instrText>
          </w:r>
          <w:r>
            <w:fldChar w:fldCharType="separate"/>
          </w:r>
          <w:r>
            <w:rPr>
              <w:szCs w:val="24"/>
            </w:rPr>
            <w:t>6</w:t>
          </w:r>
          <w:r>
            <w:t>.3术语和定义</w:t>
          </w:r>
          <w:r>
            <w:tab/>
          </w:r>
          <w:r>
            <w:fldChar w:fldCharType="begin"/>
          </w:r>
          <w:r>
            <w:instrText xml:space="preserve"> PAGEREF _Toc2705 \h </w:instrText>
          </w:r>
          <w:r>
            <w:fldChar w:fldCharType="separate"/>
          </w:r>
          <w:r>
            <w:t>19</w:t>
          </w:r>
          <w:r>
            <w:fldChar w:fldCharType="end"/>
          </w:r>
          <w:r>
            <w:fldChar w:fldCharType="end"/>
          </w:r>
        </w:p>
        <w:p w14:paraId="7A256CBF">
          <w:pPr>
            <w:pStyle w:val="16"/>
            <w:tabs>
              <w:tab w:val="right" w:leader="hyphen" w:pos="8307"/>
              <w:tab w:val="clear" w:pos="8737"/>
            </w:tabs>
          </w:pPr>
          <w:r>
            <w:fldChar w:fldCharType="begin"/>
          </w:r>
          <w:r>
            <w:instrText xml:space="preserve"> HYPERLINK \l "_Toc24402" </w:instrText>
          </w:r>
          <w:r>
            <w:fldChar w:fldCharType="separate"/>
          </w:r>
          <w:r>
            <w:rPr>
              <w:kern w:val="0"/>
              <w:szCs w:val="32"/>
            </w:rPr>
            <w:t>6.4</w:t>
          </w:r>
          <w:r>
            <w:t>总体要求</w:t>
          </w:r>
          <w:r>
            <w:tab/>
          </w:r>
          <w:r>
            <w:fldChar w:fldCharType="begin"/>
          </w:r>
          <w:r>
            <w:instrText xml:space="preserve"> PAGEREF _Toc24402 \h </w:instrText>
          </w:r>
          <w:r>
            <w:fldChar w:fldCharType="separate"/>
          </w:r>
          <w:r>
            <w:t>20</w:t>
          </w:r>
          <w:r>
            <w:fldChar w:fldCharType="end"/>
          </w:r>
          <w:r>
            <w:fldChar w:fldCharType="end"/>
          </w:r>
        </w:p>
        <w:p w14:paraId="08C9D646">
          <w:pPr>
            <w:pStyle w:val="16"/>
            <w:tabs>
              <w:tab w:val="right" w:leader="hyphen" w:pos="8307"/>
              <w:tab w:val="clear" w:pos="8737"/>
            </w:tabs>
          </w:pPr>
          <w:r>
            <w:fldChar w:fldCharType="begin"/>
          </w:r>
          <w:r>
            <w:instrText xml:space="preserve"> HYPERLINK \l "_Toc13760" </w:instrText>
          </w:r>
          <w:r>
            <w:fldChar w:fldCharType="separate"/>
          </w:r>
          <w:r>
            <w:t>6.5源头控制</w:t>
          </w:r>
          <w:r>
            <w:tab/>
          </w:r>
          <w:r>
            <w:fldChar w:fldCharType="begin"/>
          </w:r>
          <w:r>
            <w:instrText xml:space="preserve"> PAGEREF _Toc13760 \h </w:instrText>
          </w:r>
          <w:r>
            <w:fldChar w:fldCharType="separate"/>
          </w:r>
          <w:r>
            <w:t>20</w:t>
          </w:r>
          <w:r>
            <w:fldChar w:fldCharType="end"/>
          </w:r>
          <w:r>
            <w:fldChar w:fldCharType="end"/>
          </w:r>
        </w:p>
        <w:p w14:paraId="422DEAB6">
          <w:pPr>
            <w:pStyle w:val="16"/>
            <w:tabs>
              <w:tab w:val="right" w:leader="hyphen" w:pos="8307"/>
              <w:tab w:val="clear" w:pos="8737"/>
            </w:tabs>
          </w:pPr>
          <w:r>
            <w:fldChar w:fldCharType="begin"/>
          </w:r>
          <w:r>
            <w:instrText xml:space="preserve"> HYPERLINK \l "_Toc22425" </w:instrText>
          </w:r>
          <w:r>
            <w:fldChar w:fldCharType="separate"/>
          </w:r>
          <w:r>
            <w:t>6.6过程控制</w:t>
          </w:r>
          <w:r>
            <w:tab/>
          </w:r>
          <w:r>
            <w:fldChar w:fldCharType="begin"/>
          </w:r>
          <w:r>
            <w:instrText xml:space="preserve"> PAGEREF _Toc22425 \h </w:instrText>
          </w:r>
          <w:r>
            <w:fldChar w:fldCharType="separate"/>
          </w:r>
          <w:r>
            <w:t>21</w:t>
          </w:r>
          <w:r>
            <w:fldChar w:fldCharType="end"/>
          </w:r>
          <w:r>
            <w:fldChar w:fldCharType="end"/>
          </w:r>
        </w:p>
        <w:p w14:paraId="76921331">
          <w:pPr>
            <w:pStyle w:val="16"/>
            <w:tabs>
              <w:tab w:val="right" w:leader="hyphen" w:pos="8307"/>
              <w:tab w:val="clear" w:pos="8737"/>
            </w:tabs>
          </w:pPr>
          <w:r>
            <w:fldChar w:fldCharType="begin"/>
          </w:r>
          <w:r>
            <w:instrText xml:space="preserve"> HYPERLINK \l "_Toc22804" </w:instrText>
          </w:r>
          <w:r>
            <w:fldChar w:fldCharType="separate"/>
          </w:r>
          <w:r>
            <w:t>6.7末端收集处理</w:t>
          </w:r>
          <w:r>
            <w:tab/>
          </w:r>
          <w:r>
            <w:fldChar w:fldCharType="begin"/>
          </w:r>
          <w:r>
            <w:instrText xml:space="preserve"> PAGEREF _Toc22804 \h </w:instrText>
          </w:r>
          <w:r>
            <w:fldChar w:fldCharType="separate"/>
          </w:r>
          <w:r>
            <w:t>22</w:t>
          </w:r>
          <w:r>
            <w:fldChar w:fldCharType="end"/>
          </w:r>
          <w:r>
            <w:fldChar w:fldCharType="end"/>
          </w:r>
        </w:p>
        <w:p w14:paraId="5CF73F27">
          <w:pPr>
            <w:pStyle w:val="16"/>
            <w:tabs>
              <w:tab w:val="right" w:leader="hyphen" w:pos="8307"/>
              <w:tab w:val="clear" w:pos="8737"/>
            </w:tabs>
          </w:pPr>
          <w:r>
            <w:fldChar w:fldCharType="begin"/>
          </w:r>
          <w:r>
            <w:instrText xml:space="preserve"> HYPERLINK \l "_Toc23612" </w:instrText>
          </w:r>
          <w:r>
            <w:fldChar w:fldCharType="separate"/>
          </w:r>
          <w:r>
            <w:t>6.8二次污染防治</w:t>
          </w:r>
          <w:r>
            <w:tab/>
          </w:r>
          <w:r>
            <w:fldChar w:fldCharType="begin"/>
          </w:r>
          <w:r>
            <w:instrText xml:space="preserve"> PAGEREF _Toc23612 \h </w:instrText>
          </w:r>
          <w:r>
            <w:fldChar w:fldCharType="separate"/>
          </w:r>
          <w:r>
            <w:t>26</w:t>
          </w:r>
          <w:r>
            <w:fldChar w:fldCharType="end"/>
          </w:r>
          <w:r>
            <w:fldChar w:fldCharType="end"/>
          </w:r>
        </w:p>
        <w:p w14:paraId="143E9ADB">
          <w:pPr>
            <w:pStyle w:val="16"/>
            <w:tabs>
              <w:tab w:val="right" w:leader="hyphen" w:pos="8307"/>
              <w:tab w:val="clear" w:pos="8737"/>
            </w:tabs>
          </w:pPr>
          <w:r>
            <w:fldChar w:fldCharType="begin"/>
          </w:r>
          <w:r>
            <w:instrText xml:space="preserve"> HYPERLINK \l "_Toc17895" </w:instrText>
          </w:r>
          <w:r>
            <w:fldChar w:fldCharType="separate"/>
          </w:r>
          <w:r>
            <w:t>6.9环境管理</w:t>
          </w:r>
          <w:r>
            <w:tab/>
          </w:r>
          <w:r>
            <w:fldChar w:fldCharType="begin"/>
          </w:r>
          <w:r>
            <w:instrText xml:space="preserve"> PAGEREF _Toc17895 \h </w:instrText>
          </w:r>
          <w:r>
            <w:fldChar w:fldCharType="separate"/>
          </w:r>
          <w:r>
            <w:t>26</w:t>
          </w:r>
          <w:r>
            <w:fldChar w:fldCharType="end"/>
          </w:r>
          <w:r>
            <w:fldChar w:fldCharType="end"/>
          </w:r>
        </w:p>
        <w:p w14:paraId="40C77550">
          <w:pPr>
            <w:pStyle w:val="16"/>
            <w:tabs>
              <w:tab w:val="right" w:leader="hyphen" w:pos="8307"/>
              <w:tab w:val="clear" w:pos="8737"/>
            </w:tabs>
          </w:pPr>
          <w:r>
            <w:fldChar w:fldCharType="begin"/>
          </w:r>
          <w:r>
            <w:instrText xml:space="preserve"> HYPERLINK \l "_Toc20910" </w:instrText>
          </w:r>
          <w:r>
            <w:fldChar w:fldCharType="separate"/>
          </w:r>
          <w:r>
            <w:t>6.10</w:t>
          </w:r>
          <w:r>
            <w:rPr>
              <w:rFonts w:hint="eastAsia"/>
            </w:rPr>
            <w:t>污染防治先进可行性技术</w:t>
          </w:r>
          <w:r>
            <w:tab/>
          </w:r>
          <w:r>
            <w:fldChar w:fldCharType="begin"/>
          </w:r>
          <w:r>
            <w:instrText xml:space="preserve"> PAGEREF _Toc20910 \h </w:instrText>
          </w:r>
          <w:r>
            <w:fldChar w:fldCharType="separate"/>
          </w:r>
          <w:r>
            <w:t>28</w:t>
          </w:r>
          <w:r>
            <w:fldChar w:fldCharType="end"/>
          </w:r>
          <w:r>
            <w:fldChar w:fldCharType="end"/>
          </w:r>
        </w:p>
        <w:p w14:paraId="3EEC48EB">
          <w:pPr>
            <w:pStyle w:val="15"/>
            <w:tabs>
              <w:tab w:val="right" w:leader="hyphen" w:pos="8307"/>
              <w:tab w:val="clear" w:pos="8737"/>
            </w:tabs>
          </w:pPr>
          <w:r>
            <w:fldChar w:fldCharType="begin"/>
          </w:r>
          <w:r>
            <w:instrText xml:space="preserve"> HYPERLINK \l "_Toc11635" </w:instrText>
          </w:r>
          <w:r>
            <w:fldChar w:fldCharType="separate"/>
          </w:r>
          <w:r>
            <w:rPr>
              <w:szCs w:val="21"/>
            </w:rPr>
            <w:t>7.标准</w:t>
          </w:r>
          <w:r>
            <w:rPr>
              <w:rFonts w:hint="eastAsia"/>
              <w:szCs w:val="21"/>
            </w:rPr>
            <w:t>本标准的环境-效益分析</w:t>
          </w:r>
          <w:r>
            <w:tab/>
          </w:r>
          <w:r>
            <w:fldChar w:fldCharType="begin"/>
          </w:r>
          <w:r>
            <w:instrText xml:space="preserve"> PAGEREF _Toc11635 \h </w:instrText>
          </w:r>
          <w:r>
            <w:fldChar w:fldCharType="separate"/>
          </w:r>
          <w:r>
            <w:t>30</w:t>
          </w:r>
          <w:r>
            <w:fldChar w:fldCharType="end"/>
          </w:r>
          <w:r>
            <w:fldChar w:fldCharType="end"/>
          </w:r>
        </w:p>
        <w:p w14:paraId="09B62475">
          <w:pPr>
            <w:pStyle w:val="16"/>
            <w:tabs>
              <w:tab w:val="right" w:leader="hyphen" w:pos="8307"/>
              <w:tab w:val="clear" w:pos="8737"/>
            </w:tabs>
          </w:pPr>
          <w:r>
            <w:fldChar w:fldCharType="begin"/>
          </w:r>
          <w:r>
            <w:instrText xml:space="preserve"> HYPERLINK \l "_Toc20616" </w:instrText>
          </w:r>
          <w:r>
            <w:fldChar w:fldCharType="separate"/>
          </w:r>
          <w:r>
            <w:t>7.1</w:t>
          </w:r>
          <w:r>
            <w:rPr>
              <w:rFonts w:hint="eastAsia"/>
            </w:rPr>
            <w:t>环境效益分析</w:t>
          </w:r>
          <w:r>
            <w:tab/>
          </w:r>
          <w:r>
            <w:fldChar w:fldCharType="begin"/>
          </w:r>
          <w:r>
            <w:instrText xml:space="preserve"> PAGEREF _Toc20616 \h </w:instrText>
          </w:r>
          <w:r>
            <w:fldChar w:fldCharType="separate"/>
          </w:r>
          <w:r>
            <w:t>30</w:t>
          </w:r>
          <w:r>
            <w:fldChar w:fldCharType="end"/>
          </w:r>
          <w:r>
            <w:fldChar w:fldCharType="end"/>
          </w:r>
        </w:p>
        <w:p w14:paraId="2BA1621D">
          <w:pPr>
            <w:pStyle w:val="16"/>
            <w:tabs>
              <w:tab w:val="right" w:leader="hyphen" w:pos="8307"/>
              <w:tab w:val="clear" w:pos="8737"/>
            </w:tabs>
          </w:pPr>
          <w:r>
            <w:fldChar w:fldCharType="begin"/>
          </w:r>
          <w:r>
            <w:instrText xml:space="preserve"> HYPERLINK \l "_Toc26890" </w:instrText>
          </w:r>
          <w:r>
            <w:fldChar w:fldCharType="separate"/>
          </w:r>
          <w:r>
            <w:t>7.2经济效益分析</w:t>
          </w:r>
          <w:r>
            <w:tab/>
          </w:r>
          <w:r>
            <w:fldChar w:fldCharType="begin"/>
          </w:r>
          <w:r>
            <w:instrText xml:space="preserve"> PAGEREF _Toc26890 \h </w:instrText>
          </w:r>
          <w:r>
            <w:fldChar w:fldCharType="separate"/>
          </w:r>
          <w:r>
            <w:t>30</w:t>
          </w:r>
          <w:r>
            <w:fldChar w:fldCharType="end"/>
          </w:r>
          <w:r>
            <w:fldChar w:fldCharType="end"/>
          </w:r>
        </w:p>
        <w:p w14:paraId="693DC28E">
          <w:pPr>
            <w:ind w:firstLine="482"/>
            <w:jc w:val="center"/>
          </w:pPr>
          <w:r>
            <w:rPr>
              <w:b/>
            </w:rPr>
            <w:fldChar w:fldCharType="end"/>
          </w:r>
        </w:p>
      </w:sdtContent>
    </w:sdt>
    <w:p w14:paraId="015DC17E">
      <w:pPr>
        <w:pStyle w:val="16"/>
        <w:tabs>
          <w:tab w:val="right" w:leader="dot" w:pos="8743"/>
          <w:tab w:val="clear" w:pos="8737"/>
        </w:tabs>
        <w:ind w:firstLine="420"/>
      </w:pPr>
      <w:r>
        <w:rPr>
          <w:kern w:val="0"/>
          <w:sz w:val="21"/>
          <w:szCs w:val="21"/>
        </w:rPr>
        <w:fldChar w:fldCharType="begin"/>
      </w:r>
      <w:r>
        <w:rPr>
          <w:sz w:val="21"/>
          <w:szCs w:val="21"/>
        </w:rPr>
        <w:instrText xml:space="preserve">TOC\o"1-3"\h\z\u</w:instrText>
      </w:r>
      <w:r>
        <w:rPr>
          <w:kern w:val="0"/>
          <w:sz w:val="21"/>
          <w:szCs w:val="21"/>
        </w:rPr>
        <w:fldChar w:fldCharType="separate"/>
      </w:r>
    </w:p>
    <w:p w14:paraId="04D4B493">
      <w:pPr>
        <w:ind w:firstLine="0" w:firstLineChars="0"/>
        <w:jc w:val="center"/>
        <w:rPr>
          <w:szCs w:val="21"/>
        </w:rPr>
        <w:sectPr>
          <w:footerReference r:id="rId7" w:type="default"/>
          <w:pgSz w:w="11907" w:h="16840"/>
          <w:pgMar w:top="1440" w:right="1800" w:bottom="1440" w:left="1800" w:header="851" w:footer="992" w:gutter="0"/>
          <w:pgNumType w:fmt="upperRoman" w:start="1"/>
          <w:cols w:space="720" w:num="1"/>
          <w:docGrid w:linePitch="326" w:charSpace="0"/>
        </w:sectPr>
      </w:pPr>
    </w:p>
    <w:p w14:paraId="6F202EE9">
      <w:pPr>
        <w:pStyle w:val="2"/>
        <w:spacing w:before="0" w:after="0"/>
        <w:jc w:val="center"/>
        <w:rPr>
          <w:szCs w:val="21"/>
        </w:rPr>
      </w:pPr>
      <w:r>
        <w:rPr>
          <w:szCs w:val="21"/>
        </w:rPr>
        <w:fldChar w:fldCharType="end"/>
      </w:r>
      <w:bookmarkStart w:id="15" w:name="_Toc10154"/>
      <w:bookmarkStart w:id="16" w:name="_Toc26988"/>
      <w:bookmarkStart w:id="17" w:name="_Toc23162"/>
      <w:bookmarkStart w:id="18" w:name="_Toc24676"/>
      <w:bookmarkStart w:id="19" w:name="_Toc27168"/>
      <w:bookmarkStart w:id="20" w:name="_Toc16768"/>
      <w:bookmarkStart w:id="21" w:name="_Toc31273"/>
      <w:bookmarkStart w:id="22" w:name="_Toc20848"/>
      <w:bookmarkStart w:id="23" w:name="_Toc8915"/>
      <w:r>
        <w:rPr>
          <w:szCs w:val="21"/>
        </w:rPr>
        <w:t>1项目背景</w:t>
      </w:r>
      <w:bookmarkEnd w:id="15"/>
      <w:bookmarkEnd w:id="16"/>
      <w:bookmarkEnd w:id="17"/>
      <w:bookmarkEnd w:id="18"/>
      <w:bookmarkEnd w:id="19"/>
      <w:bookmarkEnd w:id="20"/>
      <w:bookmarkEnd w:id="21"/>
      <w:bookmarkEnd w:id="22"/>
      <w:bookmarkEnd w:id="23"/>
    </w:p>
    <w:p w14:paraId="40B49F3B">
      <w:pPr>
        <w:pStyle w:val="3"/>
        <w:spacing w:before="0" w:after="0"/>
        <w:rPr>
          <w:rFonts w:ascii="Times New Roman" w:hAnsi="Times New Roman"/>
        </w:rPr>
      </w:pPr>
      <w:bookmarkStart w:id="24" w:name="_Toc523001158"/>
      <w:bookmarkStart w:id="25" w:name="_Toc525723206"/>
      <w:bookmarkStart w:id="26" w:name="_Toc1210"/>
      <w:bookmarkStart w:id="27" w:name="_Toc20393"/>
      <w:bookmarkStart w:id="28" w:name="_Toc18856"/>
      <w:bookmarkStart w:id="29" w:name="_Toc10873"/>
      <w:bookmarkStart w:id="30" w:name="_Toc15668"/>
      <w:bookmarkStart w:id="31" w:name="_Toc31159"/>
      <w:bookmarkStart w:id="32" w:name="_Toc32701"/>
      <w:bookmarkStart w:id="33" w:name="_Toc11350"/>
      <w:bookmarkStart w:id="34" w:name="_Toc24298"/>
      <w:bookmarkStart w:id="35" w:name="_Toc26334"/>
      <w:r>
        <w:rPr>
          <w:rFonts w:ascii="Times New Roman" w:hAnsi="Times New Roman"/>
        </w:rPr>
        <w:t>1.1任务</w:t>
      </w:r>
      <w:bookmarkEnd w:id="24"/>
      <w:bookmarkEnd w:id="25"/>
      <w:bookmarkEnd w:id="26"/>
      <w:r>
        <w:rPr>
          <w:rFonts w:ascii="Times New Roman" w:hAnsi="Times New Roman"/>
        </w:rPr>
        <w:t>来源</w:t>
      </w:r>
      <w:bookmarkEnd w:id="27"/>
      <w:bookmarkEnd w:id="28"/>
      <w:bookmarkEnd w:id="29"/>
      <w:bookmarkEnd w:id="30"/>
      <w:bookmarkEnd w:id="31"/>
      <w:bookmarkEnd w:id="32"/>
      <w:bookmarkEnd w:id="33"/>
      <w:bookmarkEnd w:id="34"/>
      <w:bookmarkEnd w:id="35"/>
    </w:p>
    <w:p w14:paraId="6C4D7B50">
      <w:pPr>
        <w:snapToGrid w:val="0"/>
        <w:ind w:firstLine="480"/>
        <w:rPr>
          <w:shd w:val="clear" w:color="auto" w:fill="FFFFFF"/>
        </w:rPr>
      </w:pPr>
      <w:r>
        <w:rPr>
          <w:shd w:val="clear" w:color="auto" w:fill="FFFFFF"/>
        </w:rPr>
        <w:t>按照省委、省政府要求，为全面做好江西省</w:t>
      </w:r>
      <w:r>
        <w:rPr>
          <w:rFonts w:hint="eastAsia"/>
          <w:shd w:val="clear" w:color="auto" w:fill="FFFFFF"/>
        </w:rPr>
        <w:t>“</w:t>
      </w:r>
      <w:r>
        <w:rPr>
          <w:shd w:val="clear" w:color="auto" w:fill="FFFFFF"/>
        </w:rPr>
        <w:t>十四五</w:t>
      </w:r>
      <w:r>
        <w:rPr>
          <w:rFonts w:hint="eastAsia"/>
          <w:shd w:val="clear" w:color="auto" w:fill="FFFFFF"/>
        </w:rPr>
        <w:t>”</w:t>
      </w:r>
      <w:r>
        <w:rPr>
          <w:shd w:val="clear" w:color="auto" w:fill="FFFFFF"/>
        </w:rPr>
        <w:t>大气污染防治工作，江西省市场</w:t>
      </w:r>
      <w:r>
        <w:rPr>
          <w:rFonts w:hint="eastAsia"/>
          <w:shd w:val="clear" w:color="auto" w:fill="FFFFFF"/>
        </w:rPr>
        <w:t>监管局</w:t>
      </w:r>
      <w:r>
        <w:rPr>
          <w:shd w:val="clear" w:color="auto" w:fill="FFFFFF"/>
        </w:rPr>
        <w:t>印发了《关于下</w:t>
      </w:r>
      <w:r>
        <w:rPr>
          <w:rFonts w:hint="eastAsia"/>
          <w:shd w:val="clear" w:color="auto" w:fill="FFFFFF"/>
        </w:rPr>
        <w:t>达2025年第二批江西省地方标准制修订计划的通知</w:t>
      </w:r>
      <w:r>
        <w:rPr>
          <w:shd w:val="clear" w:color="auto" w:fill="FFFFFF"/>
        </w:rPr>
        <w:t>》，该通知将《挥发性有机物污染防治技术指南（试行）第1部分：表面涂装行业》列入202</w:t>
      </w:r>
      <w:r>
        <w:rPr>
          <w:rFonts w:hint="eastAsia"/>
          <w:shd w:val="clear" w:color="auto" w:fill="FFFFFF"/>
        </w:rPr>
        <w:t>5</w:t>
      </w:r>
      <w:r>
        <w:rPr>
          <w:shd w:val="clear" w:color="auto" w:fill="FFFFFF"/>
        </w:rPr>
        <w:t>年度地方标准制定计划，项目编号DB36-202</w:t>
      </w:r>
      <w:r>
        <w:rPr>
          <w:rFonts w:hint="eastAsia"/>
          <w:shd w:val="clear" w:color="auto" w:fill="FFFFFF"/>
        </w:rPr>
        <w:t>5</w:t>
      </w:r>
      <w:r>
        <w:rPr>
          <w:shd w:val="clear" w:color="auto" w:fill="FFFFFF"/>
        </w:rPr>
        <w:t>-</w:t>
      </w:r>
      <w:r>
        <w:rPr>
          <w:rFonts w:hint="eastAsia"/>
          <w:shd w:val="clear" w:color="auto" w:fill="FFFFFF"/>
        </w:rPr>
        <w:t>1</w:t>
      </w:r>
      <w:r>
        <w:rPr>
          <w:shd w:val="clear" w:color="auto" w:fill="FFFFFF"/>
        </w:rPr>
        <w:t>-</w:t>
      </w:r>
      <w:r>
        <w:rPr>
          <w:rFonts w:hint="eastAsia"/>
          <w:shd w:val="clear" w:color="auto" w:fill="FFFFFF"/>
        </w:rPr>
        <w:t>11</w:t>
      </w:r>
      <w:r>
        <w:rPr>
          <w:shd w:val="clear" w:color="auto" w:fill="FFFFFF"/>
        </w:rPr>
        <w:t>。</w:t>
      </w:r>
    </w:p>
    <w:p w14:paraId="7380A6F1">
      <w:pPr>
        <w:pStyle w:val="3"/>
        <w:spacing w:before="0" w:after="0"/>
        <w:rPr>
          <w:rFonts w:ascii="Times New Roman" w:hAnsi="Times New Roman"/>
          <w:b w:val="0"/>
        </w:rPr>
      </w:pPr>
      <w:bookmarkStart w:id="36" w:name="_Toc3580"/>
      <w:bookmarkStart w:id="37" w:name="_Toc12249"/>
      <w:bookmarkStart w:id="38" w:name="_Toc19448"/>
      <w:bookmarkStart w:id="39" w:name="_Toc21075"/>
      <w:bookmarkStart w:id="40" w:name="_Toc27214"/>
      <w:bookmarkStart w:id="41" w:name="_Toc13984"/>
      <w:bookmarkStart w:id="42" w:name="_Toc18803"/>
      <w:bookmarkStart w:id="43" w:name="_Toc7889"/>
      <w:bookmarkStart w:id="44" w:name="_Toc9037"/>
      <w:r>
        <w:rPr>
          <w:rFonts w:ascii="Times New Roman" w:hAnsi="Times New Roman"/>
        </w:rPr>
        <w:t>1.2工作背景</w:t>
      </w:r>
      <w:bookmarkEnd w:id="36"/>
      <w:bookmarkEnd w:id="37"/>
      <w:bookmarkEnd w:id="38"/>
      <w:bookmarkEnd w:id="39"/>
      <w:bookmarkEnd w:id="40"/>
      <w:bookmarkEnd w:id="41"/>
      <w:bookmarkEnd w:id="42"/>
      <w:bookmarkEnd w:id="43"/>
      <w:bookmarkEnd w:id="44"/>
    </w:p>
    <w:p w14:paraId="2991678F">
      <w:pPr>
        <w:snapToGrid w:val="0"/>
        <w:ind w:firstLine="480"/>
        <w:rPr>
          <w:shd w:val="clear" w:color="auto" w:fill="FFFFFF"/>
        </w:rPr>
      </w:pPr>
      <w:r>
        <w:rPr>
          <w:shd w:val="clear" w:color="auto" w:fill="FFFFFF"/>
        </w:rPr>
        <w:t>挥发性有机物（VOCs）是形成细颗粒物（PM</w:t>
      </w:r>
      <w:r>
        <w:rPr>
          <w:shd w:val="clear" w:color="auto" w:fill="FFFFFF"/>
          <w:vertAlign w:val="subscript"/>
        </w:rPr>
        <w:t>2.5</w:t>
      </w:r>
      <w:r>
        <w:rPr>
          <w:shd w:val="clear" w:color="auto" w:fill="FFFFFF"/>
        </w:rPr>
        <w:t>）和臭氧（O</w:t>
      </w:r>
      <w:r>
        <w:rPr>
          <w:shd w:val="clear" w:color="auto" w:fill="FFFFFF"/>
          <w:vertAlign w:val="subscript"/>
        </w:rPr>
        <w:t>3</w:t>
      </w:r>
      <w:r>
        <w:rPr>
          <w:shd w:val="clear" w:color="auto" w:fill="FFFFFF"/>
        </w:rPr>
        <w:t>）的重要前体物质，对环境空气质量影响较大。除影响环境质量外，一些行业排放的VOCs含有三苯类、卤代烃类、硝基苯类、苯胺类等物质，对人体健康具有较大的危害。因此，有效控制VOCs排放迫在眉睫。</w:t>
      </w:r>
    </w:p>
    <w:p w14:paraId="4A3EA41A">
      <w:pPr>
        <w:snapToGrid w:val="0"/>
        <w:ind w:firstLine="480"/>
        <w:rPr>
          <w:shd w:val="clear" w:color="auto" w:fill="FFFFFF"/>
        </w:rPr>
      </w:pPr>
      <w:r>
        <w:rPr>
          <w:shd w:val="clear" w:color="auto" w:fill="FFFFFF"/>
        </w:rPr>
        <w:t>根据2023年《江西省环境统计年报》，全省重点调查工业企业排放的VOCs约</w:t>
      </w:r>
      <w:r>
        <w:rPr>
          <w:rFonts w:hint="eastAsia"/>
          <w:shd w:val="clear" w:color="auto" w:fill="FFFFFF"/>
        </w:rPr>
        <w:t>19.1</w:t>
      </w:r>
      <w:r>
        <w:rPr>
          <w:shd w:val="clear" w:color="auto" w:fill="FFFFFF"/>
        </w:rPr>
        <w:t>万吨/年，其中统计表面涂装行业重点调查企业的排放量约为</w:t>
      </w:r>
      <w:r>
        <w:rPr>
          <w:rFonts w:hint="eastAsia"/>
          <w:shd w:val="clear" w:color="auto" w:fill="FFFFFF"/>
        </w:rPr>
        <w:t>3.01万</w:t>
      </w:r>
      <w:r>
        <w:rPr>
          <w:shd w:val="clear" w:color="auto" w:fill="FFFFFF"/>
        </w:rPr>
        <w:t>吨/年，占比15.76%。涉表面涂装行业是我省VOCs排放重点行业，据不完全统计我省涉表面涂装企业达1万余家，企业数量多，规模小，污染物种类多，企业治理水平较薄弱，挥发性有机物排放量大。为进一步改善环境空气质量，提高表面涂装行业VOCs企业治理水平，打好大气污染防治攻坚战，迫切需要全面加强VOCs污染防治工作，需要强化我省涉涂装行业挥发性有机物的污染控制。</w:t>
      </w:r>
    </w:p>
    <w:p w14:paraId="602A5A67">
      <w:pPr>
        <w:snapToGrid w:val="0"/>
        <w:ind w:firstLine="480"/>
        <w:rPr>
          <w:shd w:val="clear" w:color="auto" w:fill="FFFFFF"/>
        </w:rPr>
      </w:pPr>
      <w:r>
        <w:rPr>
          <w:shd w:val="clear" w:color="auto" w:fill="FFFFFF"/>
        </w:rPr>
        <w:t>为做好我省涉涂装工序行业的挥发性有机物污染控制、减少挥发性有机污染物排放、改善全省环境空气质量，省生态环境厅决定开展表面涂装行业的VOCs排放污染防治技术指南的制定工作，该项工作由省生态环境厅牵头组织，江西省生态环境科学研究与规划院作为技术承担单位，负责技术指南的具体研制起草。</w:t>
      </w:r>
    </w:p>
    <w:p w14:paraId="53DAFCE8">
      <w:pPr>
        <w:snapToGrid w:val="0"/>
        <w:ind w:firstLine="0" w:firstLineChars="0"/>
        <w:rPr>
          <w:shd w:val="clear" w:color="auto" w:fill="FFFFFF"/>
        </w:rPr>
        <w:sectPr>
          <w:footerReference r:id="rId8" w:type="default"/>
          <w:pgSz w:w="11907" w:h="16840"/>
          <w:pgMar w:top="1440" w:right="1800" w:bottom="1440" w:left="1800" w:header="851" w:footer="992" w:gutter="0"/>
          <w:pgNumType w:start="1"/>
          <w:cols w:space="720" w:num="1"/>
          <w:docGrid w:linePitch="326" w:charSpace="0"/>
        </w:sectPr>
      </w:pPr>
    </w:p>
    <w:p w14:paraId="132521CE">
      <w:pPr>
        <w:pStyle w:val="3"/>
        <w:spacing w:before="0" w:after="0"/>
        <w:rPr>
          <w:rFonts w:ascii="Times New Roman" w:hAnsi="Times New Roman"/>
          <w:b w:val="0"/>
        </w:rPr>
      </w:pPr>
      <w:bookmarkStart w:id="45" w:name="_Toc21837"/>
      <w:bookmarkStart w:id="46" w:name="_Toc8691"/>
      <w:bookmarkStart w:id="47" w:name="_Toc523001159"/>
      <w:bookmarkStart w:id="48" w:name="_Toc7569"/>
      <w:bookmarkStart w:id="49" w:name="_Toc525723207"/>
      <w:bookmarkStart w:id="50" w:name="_Toc15745"/>
      <w:bookmarkStart w:id="51" w:name="_Toc15680"/>
      <w:bookmarkStart w:id="52" w:name="_Toc22782"/>
      <w:bookmarkStart w:id="53" w:name="_Toc23617"/>
      <w:bookmarkStart w:id="54" w:name="_Toc11121"/>
      <w:bookmarkStart w:id="55" w:name="_Toc9623"/>
      <w:bookmarkStart w:id="56" w:name="_Toc21813"/>
      <w:r>
        <w:rPr>
          <w:rFonts w:ascii="Times New Roman" w:hAnsi="Times New Roman"/>
        </w:rPr>
        <w:t>1.</w:t>
      </w:r>
      <w:r>
        <w:rPr>
          <w:rFonts w:hint="eastAsia" w:ascii="Times New Roman" w:hAnsi="Times New Roman"/>
        </w:rPr>
        <w:t>3</w:t>
      </w:r>
      <w:r>
        <w:rPr>
          <w:rFonts w:ascii="Times New Roman" w:hAnsi="Times New Roman"/>
        </w:rPr>
        <w:t>工作过程</w:t>
      </w:r>
      <w:bookmarkEnd w:id="45"/>
      <w:bookmarkEnd w:id="46"/>
      <w:bookmarkEnd w:id="47"/>
      <w:bookmarkEnd w:id="48"/>
      <w:bookmarkEnd w:id="49"/>
      <w:bookmarkEnd w:id="50"/>
      <w:bookmarkEnd w:id="51"/>
      <w:bookmarkEnd w:id="52"/>
      <w:bookmarkEnd w:id="53"/>
      <w:bookmarkEnd w:id="54"/>
      <w:bookmarkEnd w:id="55"/>
      <w:bookmarkEnd w:id="56"/>
    </w:p>
    <w:p w14:paraId="128EA74B">
      <w:pPr>
        <w:ind w:firstLine="480"/>
        <w:rPr>
          <w:szCs w:val="21"/>
        </w:rPr>
      </w:pPr>
      <w:r>
        <w:rPr>
          <w:szCs w:val="21"/>
        </w:rPr>
        <w:t>（1）成立编制小组</w:t>
      </w:r>
    </w:p>
    <w:p w14:paraId="05B4985B">
      <w:pPr>
        <w:ind w:firstLine="480"/>
        <w:rPr>
          <w:szCs w:val="21"/>
        </w:rPr>
      </w:pPr>
      <w:r>
        <w:rPr>
          <w:szCs w:val="21"/>
        </w:rPr>
        <w:t>202</w:t>
      </w:r>
      <w:r>
        <w:rPr>
          <w:rFonts w:hint="eastAsia"/>
          <w:szCs w:val="21"/>
        </w:rPr>
        <w:t>5</w:t>
      </w:r>
      <w:r>
        <w:rPr>
          <w:szCs w:val="21"/>
        </w:rPr>
        <w:t>年</w:t>
      </w:r>
      <w:r>
        <w:rPr>
          <w:rFonts w:hint="eastAsia"/>
          <w:szCs w:val="21"/>
        </w:rPr>
        <w:t>2</w:t>
      </w:r>
      <w:r>
        <w:rPr>
          <w:szCs w:val="21"/>
        </w:rPr>
        <w:t>月，根据标准编制任务要求，江西省生态环境科学研究与规划院成立了技术指南编制组，负责</w:t>
      </w:r>
      <w:r>
        <w:rPr>
          <w:shd w:val="clear" w:color="auto" w:fill="FFFFFF"/>
        </w:rPr>
        <w:t>《挥发性有机物污染防治技术指南（试行）第1部分：表面涂装行业》</w:t>
      </w:r>
      <w:r>
        <w:rPr>
          <w:szCs w:val="21"/>
        </w:rPr>
        <w:t>及其编制说明报批稿的工作。</w:t>
      </w:r>
    </w:p>
    <w:p w14:paraId="7C457FB2">
      <w:pPr>
        <w:ind w:firstLine="480"/>
        <w:rPr>
          <w:szCs w:val="21"/>
        </w:rPr>
      </w:pPr>
      <w:r>
        <w:rPr>
          <w:szCs w:val="21"/>
        </w:rPr>
        <w:t>（2）数据资料收集与分析</w:t>
      </w:r>
    </w:p>
    <w:p w14:paraId="1140C90D">
      <w:pPr>
        <w:ind w:firstLine="480"/>
        <w:rPr>
          <w:szCs w:val="21"/>
        </w:rPr>
      </w:pPr>
      <w:r>
        <w:rPr>
          <w:szCs w:val="21"/>
        </w:rPr>
        <w:t>202</w:t>
      </w:r>
      <w:r>
        <w:rPr>
          <w:rFonts w:hint="eastAsia"/>
          <w:szCs w:val="21"/>
        </w:rPr>
        <w:t>5</w:t>
      </w:r>
      <w:r>
        <w:rPr>
          <w:szCs w:val="21"/>
        </w:rPr>
        <w:t>年</w:t>
      </w:r>
      <w:r>
        <w:rPr>
          <w:rFonts w:hint="eastAsia"/>
          <w:szCs w:val="21"/>
        </w:rPr>
        <w:t>2</w:t>
      </w:r>
      <w:r>
        <w:rPr>
          <w:szCs w:val="21"/>
        </w:rPr>
        <w:t>月-202</w:t>
      </w:r>
      <w:r>
        <w:rPr>
          <w:rFonts w:hint="eastAsia"/>
          <w:szCs w:val="21"/>
        </w:rPr>
        <w:t>5</w:t>
      </w:r>
      <w:r>
        <w:rPr>
          <w:szCs w:val="21"/>
        </w:rPr>
        <w:t>年</w:t>
      </w:r>
      <w:r>
        <w:rPr>
          <w:rFonts w:hint="eastAsia"/>
          <w:szCs w:val="21"/>
        </w:rPr>
        <w:t>5</w:t>
      </w:r>
      <w:r>
        <w:rPr>
          <w:szCs w:val="21"/>
        </w:rPr>
        <w:t>月，课题组收集、查阅、分析大量与表面涂装行业污染治理相关的国内外政策、法规、标准，以及治理技术相关的治理技术资料及文献</w:t>
      </w:r>
      <w:r>
        <w:rPr>
          <w:rFonts w:hint="eastAsia"/>
          <w:szCs w:val="21"/>
        </w:rPr>
        <w:t>。</w:t>
      </w:r>
    </w:p>
    <w:p w14:paraId="7D6DB516">
      <w:pPr>
        <w:ind w:firstLine="480"/>
        <w:rPr>
          <w:szCs w:val="21"/>
        </w:rPr>
      </w:pPr>
      <w:r>
        <w:rPr>
          <w:szCs w:val="21"/>
        </w:rPr>
        <w:t>（3）行业现场调研与座谈</w:t>
      </w:r>
    </w:p>
    <w:p w14:paraId="74C90420">
      <w:pPr>
        <w:ind w:firstLine="480"/>
        <w:rPr>
          <w:color w:val="0000FF"/>
          <w:szCs w:val="21"/>
        </w:rPr>
      </w:pPr>
      <w:r>
        <w:rPr>
          <w:szCs w:val="21"/>
        </w:rPr>
        <w:t>202</w:t>
      </w:r>
      <w:r>
        <w:rPr>
          <w:rFonts w:hint="eastAsia"/>
          <w:szCs w:val="21"/>
        </w:rPr>
        <w:t>5</w:t>
      </w:r>
      <w:r>
        <w:rPr>
          <w:szCs w:val="21"/>
        </w:rPr>
        <w:t>年</w:t>
      </w:r>
      <w:r>
        <w:rPr>
          <w:rFonts w:hint="eastAsia"/>
          <w:szCs w:val="21"/>
        </w:rPr>
        <w:t>3</w:t>
      </w:r>
      <w:r>
        <w:rPr>
          <w:szCs w:val="21"/>
        </w:rPr>
        <w:t>月-202</w:t>
      </w:r>
      <w:r>
        <w:rPr>
          <w:rFonts w:hint="eastAsia"/>
          <w:szCs w:val="21"/>
        </w:rPr>
        <w:t>5</w:t>
      </w:r>
      <w:r>
        <w:rPr>
          <w:szCs w:val="21"/>
        </w:rPr>
        <w:t>年</w:t>
      </w:r>
      <w:r>
        <w:rPr>
          <w:rFonts w:hint="eastAsia"/>
          <w:szCs w:val="21"/>
        </w:rPr>
        <w:t>4</w:t>
      </w:r>
      <w:r>
        <w:rPr>
          <w:szCs w:val="21"/>
        </w:rPr>
        <w:t>月，课题组</w:t>
      </w:r>
      <w:r>
        <w:rPr>
          <w:rFonts w:hint="eastAsia"/>
          <w:szCs w:val="21"/>
        </w:rPr>
        <w:t>通过</w:t>
      </w:r>
      <w:r>
        <w:rPr>
          <w:szCs w:val="21"/>
        </w:rPr>
        <w:t>现场</w:t>
      </w:r>
      <w:r>
        <w:rPr>
          <w:rFonts w:hint="eastAsia"/>
          <w:szCs w:val="21"/>
        </w:rPr>
        <w:t>调研</w:t>
      </w:r>
      <w:r>
        <w:rPr>
          <w:szCs w:val="21"/>
        </w:rPr>
        <w:t>100余家企业的生产工艺与污染防治控制措施</w:t>
      </w:r>
      <w:r>
        <w:rPr>
          <w:rFonts w:hint="eastAsia"/>
          <w:szCs w:val="21"/>
        </w:rPr>
        <w:t>以及审核</w:t>
      </w:r>
      <w:r>
        <w:rPr>
          <w:szCs w:val="21"/>
        </w:rPr>
        <w:t>VOCs填报系统平台</w:t>
      </w:r>
      <w:r>
        <w:rPr>
          <w:rFonts w:hint="eastAsia"/>
          <w:szCs w:val="21"/>
        </w:rPr>
        <w:t>数据</w:t>
      </w:r>
      <w:r>
        <w:rPr>
          <w:szCs w:val="21"/>
        </w:rPr>
        <w:t>，收集了省内400多家企业的涂料使用情况、涂装工艺、VOCs废气污染控制措施与排放情况。</w:t>
      </w:r>
    </w:p>
    <w:p w14:paraId="5EB038A2">
      <w:pPr>
        <w:ind w:firstLine="480"/>
        <w:rPr>
          <w:szCs w:val="21"/>
        </w:rPr>
      </w:pPr>
      <w:r>
        <w:rPr>
          <w:szCs w:val="21"/>
        </w:rPr>
        <w:t>（4）标准编制</w:t>
      </w:r>
    </w:p>
    <w:p w14:paraId="2979862E">
      <w:pPr>
        <w:ind w:firstLine="480"/>
        <w:rPr>
          <w:szCs w:val="21"/>
        </w:rPr>
      </w:pPr>
      <w:r>
        <w:rPr>
          <w:szCs w:val="21"/>
        </w:rPr>
        <w:t>202</w:t>
      </w:r>
      <w:r>
        <w:rPr>
          <w:rFonts w:hint="eastAsia"/>
          <w:szCs w:val="21"/>
        </w:rPr>
        <w:t>5</w:t>
      </w:r>
      <w:r>
        <w:rPr>
          <w:szCs w:val="21"/>
        </w:rPr>
        <w:t>年</w:t>
      </w:r>
      <w:r>
        <w:rPr>
          <w:rFonts w:hint="eastAsia"/>
          <w:szCs w:val="21"/>
        </w:rPr>
        <w:t>5</w:t>
      </w:r>
      <w:r>
        <w:rPr>
          <w:szCs w:val="21"/>
        </w:rPr>
        <w:t>月</w:t>
      </w:r>
      <w:r>
        <w:rPr>
          <w:rFonts w:hint="eastAsia"/>
          <w:szCs w:val="21"/>
        </w:rPr>
        <w:t>初</w:t>
      </w:r>
      <w:r>
        <w:rPr>
          <w:szCs w:val="21"/>
        </w:rPr>
        <w:t>，课题组最终形成了</w:t>
      </w:r>
      <w:r>
        <w:rPr>
          <w:shd w:val="clear" w:color="auto" w:fill="FFFFFF"/>
        </w:rPr>
        <w:t>《挥发性有机物污染防治技术指南（试行）第1部分：表面涂装行业》</w:t>
      </w:r>
      <w:r>
        <w:rPr>
          <w:szCs w:val="21"/>
        </w:rPr>
        <w:t>（征求意见稿）和编制说明。</w:t>
      </w:r>
    </w:p>
    <w:p w14:paraId="2362438F">
      <w:pPr>
        <w:ind w:firstLine="480"/>
      </w:pPr>
    </w:p>
    <w:p w14:paraId="0BC67CA0">
      <w:pPr>
        <w:ind w:firstLine="480"/>
      </w:pPr>
    </w:p>
    <w:p w14:paraId="58A7B807">
      <w:pPr>
        <w:ind w:firstLine="480"/>
      </w:pPr>
    </w:p>
    <w:p w14:paraId="354BBD55">
      <w:pPr>
        <w:ind w:firstLine="480"/>
      </w:pPr>
    </w:p>
    <w:p w14:paraId="35AB4916">
      <w:pPr>
        <w:ind w:firstLine="480"/>
      </w:pPr>
    </w:p>
    <w:p w14:paraId="071F975B">
      <w:pPr>
        <w:ind w:firstLine="480"/>
      </w:pPr>
    </w:p>
    <w:p w14:paraId="61FE20AC">
      <w:pPr>
        <w:ind w:firstLine="480"/>
      </w:pPr>
    </w:p>
    <w:p w14:paraId="6D38638A">
      <w:pPr>
        <w:ind w:firstLine="480"/>
      </w:pPr>
    </w:p>
    <w:p w14:paraId="274F850B">
      <w:pPr>
        <w:ind w:firstLine="480"/>
      </w:pPr>
    </w:p>
    <w:p w14:paraId="00D54BE0">
      <w:pPr>
        <w:ind w:firstLine="480"/>
      </w:pPr>
      <w:bookmarkStart w:id="57" w:name="_Toc27572"/>
      <w:bookmarkStart w:id="58" w:name="_Toc21267"/>
      <w:bookmarkStart w:id="59" w:name="_Toc525723210"/>
      <w:bookmarkStart w:id="60" w:name="_Toc537"/>
    </w:p>
    <w:p w14:paraId="11CC88F3">
      <w:pPr>
        <w:ind w:firstLine="480"/>
      </w:pPr>
    </w:p>
    <w:p w14:paraId="6EAE8B12">
      <w:pPr>
        <w:ind w:firstLine="480"/>
      </w:pPr>
    </w:p>
    <w:p w14:paraId="391A311B">
      <w:pPr>
        <w:pStyle w:val="3"/>
        <w:spacing w:before="0" w:after="0"/>
        <w:jc w:val="center"/>
        <w:rPr>
          <w:rFonts w:ascii="Times New Roman" w:hAnsi="Times New Roman"/>
          <w:kern w:val="44"/>
          <w:sz w:val="32"/>
          <w:szCs w:val="21"/>
        </w:rPr>
      </w:pPr>
      <w:bookmarkStart w:id="61" w:name="_Toc8442"/>
      <w:bookmarkStart w:id="62" w:name="_Toc17502"/>
      <w:bookmarkStart w:id="63" w:name="_Toc20906"/>
      <w:bookmarkStart w:id="64" w:name="_Toc27248"/>
      <w:bookmarkStart w:id="65" w:name="_Toc1916"/>
      <w:bookmarkStart w:id="66" w:name="_Toc17077"/>
      <w:bookmarkStart w:id="67" w:name="_Toc24191"/>
      <w:r>
        <w:rPr>
          <w:rFonts w:ascii="Times New Roman" w:hAnsi="Times New Roman"/>
          <w:kern w:val="44"/>
          <w:sz w:val="32"/>
          <w:szCs w:val="21"/>
        </w:rPr>
        <w:t>2</w:t>
      </w:r>
      <w:r>
        <w:rPr>
          <w:rFonts w:hint="eastAsia" w:ascii="Times New Roman" w:hAnsi="Times New Roman"/>
          <w:kern w:val="44"/>
          <w:sz w:val="32"/>
          <w:szCs w:val="21"/>
        </w:rPr>
        <w:t>标准制定的必要性</w:t>
      </w:r>
      <w:bookmarkEnd w:id="57"/>
      <w:bookmarkEnd w:id="58"/>
      <w:bookmarkEnd w:id="59"/>
      <w:bookmarkEnd w:id="60"/>
      <w:bookmarkEnd w:id="61"/>
      <w:bookmarkEnd w:id="62"/>
      <w:bookmarkEnd w:id="63"/>
      <w:bookmarkEnd w:id="64"/>
      <w:bookmarkEnd w:id="65"/>
      <w:bookmarkEnd w:id="66"/>
      <w:bookmarkEnd w:id="67"/>
    </w:p>
    <w:p w14:paraId="3CDAA8E8">
      <w:pPr>
        <w:pStyle w:val="3"/>
        <w:spacing w:before="0" w:after="0"/>
        <w:rPr>
          <w:rFonts w:ascii="Times New Roman" w:hAnsi="Times New Roman"/>
        </w:rPr>
      </w:pPr>
      <w:bookmarkStart w:id="68" w:name="_Toc12966"/>
      <w:bookmarkStart w:id="69" w:name="_Toc15992"/>
      <w:bookmarkStart w:id="70" w:name="_Toc26133"/>
      <w:bookmarkStart w:id="71" w:name="_Toc24197"/>
      <w:bookmarkStart w:id="72" w:name="_Toc3181"/>
      <w:bookmarkStart w:id="73" w:name="_Toc13046"/>
      <w:bookmarkStart w:id="74" w:name="_Toc18661"/>
      <w:bookmarkStart w:id="75" w:name="_Toc4660"/>
      <w:bookmarkStart w:id="76" w:name="_Toc20945"/>
      <w:bookmarkStart w:id="77" w:name="_Toc14985"/>
      <w:bookmarkStart w:id="78" w:name="_Toc523001161"/>
      <w:bookmarkStart w:id="79" w:name="_Toc525723211"/>
      <w:r>
        <w:rPr>
          <w:rFonts w:ascii="Times New Roman" w:hAnsi="Times New Roman"/>
        </w:rPr>
        <w:t>2.1江西省大气污染防控形势发展需要</w:t>
      </w:r>
      <w:bookmarkEnd w:id="68"/>
      <w:bookmarkEnd w:id="69"/>
      <w:bookmarkEnd w:id="70"/>
      <w:bookmarkEnd w:id="71"/>
      <w:bookmarkEnd w:id="72"/>
      <w:bookmarkEnd w:id="73"/>
      <w:bookmarkEnd w:id="74"/>
      <w:bookmarkEnd w:id="75"/>
      <w:bookmarkEnd w:id="76"/>
      <w:bookmarkEnd w:id="77"/>
    </w:p>
    <w:p w14:paraId="2B8EACCA">
      <w:pPr>
        <w:ind w:firstLine="480"/>
      </w:pPr>
      <w:r>
        <w:t>VOCs是形成细颗粒物（PM</w:t>
      </w:r>
      <w:r>
        <w:rPr>
          <w:vertAlign w:val="subscript"/>
        </w:rPr>
        <w:t>2.5</w:t>
      </w:r>
      <w:r>
        <w:t>）和臭氧（O</w:t>
      </w:r>
      <w:r>
        <w:rPr>
          <w:vertAlign w:val="subscript"/>
        </w:rPr>
        <w:t>3</w:t>
      </w:r>
      <w:r>
        <w:t>）的重要前体物，对气候变化也有影响。201</w:t>
      </w:r>
      <w:r>
        <w:rPr>
          <w:rFonts w:hint="eastAsia"/>
        </w:rPr>
        <w:t>9</w:t>
      </w:r>
      <w:r>
        <w:t>年以来，臭氧已成为我省除PM</w:t>
      </w:r>
      <w:r>
        <w:rPr>
          <w:vertAlign w:val="subscript"/>
        </w:rPr>
        <w:t>2.5</w:t>
      </w:r>
      <w:r>
        <w:t>以外的主要污染因子，臭氧超标天数占总超标天数比例均值可达57%，部分设区市还出现中度污染天，臭氧呈现出“占比增加、时间提前、区域扩大”趋势特征。</w:t>
      </w:r>
    </w:p>
    <w:p w14:paraId="1B87996D">
      <w:pPr>
        <w:ind w:firstLine="480"/>
      </w:pPr>
      <w:r>
        <w:t>为更好地加强臭氧管控前体物VOCs的管控，解决目前我省大气环境VOCs控制短板现状，改善我省空气质量，国家和我省相继出台印发了《重点行业挥发性有机物综合治理方案的通知》（环大气〔2019〕53号）、</w:t>
      </w:r>
      <w:r>
        <w:rPr>
          <w:rFonts w:hint="eastAsia"/>
        </w:rPr>
        <w:t>《2020年挥发性有机物治理攻坚方案</w:t>
      </w:r>
      <w:r>
        <w:rPr>
          <w:rFonts w:hint="eastAsia"/>
          <w:lang w:eastAsia="zh-CN"/>
        </w:rPr>
        <w:t>》《</w:t>
      </w:r>
      <w:r>
        <w:t>关于加快解决当前挥发性有机物治理突出问题的通知（征求意见稿）》（环办便函〔2021〕217号）、《江西省重点行业挥发性有机物综合治理方案的通知》（赣环大气〔2019〕</w:t>
      </w:r>
      <w:r>
        <w:rPr>
          <w:rFonts w:hint="eastAsia"/>
          <w:lang w:eastAsia="zh-CN"/>
        </w:rPr>
        <w:t>）</w:t>
      </w:r>
      <w:r>
        <w:t>、《2020年夏秋季挥发性有机物(VOCs)治理攻坚帮扶工作方案的通知》（赣环大气〔2020〕6号）、《加强VOCs排放管控及时做好2022年臭氧污染应对工作》（赣环大气〔2022〕6号）、《江西省重点行业挥发性有机物控制技术手册</w:t>
      </w:r>
      <w:r>
        <w:rPr>
          <w:rFonts w:hint="eastAsia"/>
          <w:lang w:eastAsia="zh-CN"/>
        </w:rPr>
        <w:t>》《</w:t>
      </w:r>
      <w:r>
        <w:t>江西省重点行业挥发性有机物现场核查手册》等文件，政策文件均将表面涂装业列为了挥发性有机物治理的重点行业。</w:t>
      </w:r>
    </w:p>
    <w:p w14:paraId="3C15AE7C">
      <w:pPr>
        <w:ind w:firstLine="480" w:firstLineChars="0"/>
      </w:pPr>
      <w:r>
        <w:t>根据202</w:t>
      </w:r>
      <w:r>
        <w:rPr>
          <w:rFonts w:hint="eastAsia"/>
        </w:rPr>
        <w:t>3</w:t>
      </w:r>
      <w:r>
        <w:t>年我省环境统计结果，全省重点调查工业企业排放的VOCs约</w:t>
      </w:r>
      <w:r>
        <w:rPr>
          <w:rFonts w:hint="eastAsia"/>
        </w:rPr>
        <w:t>19.1</w:t>
      </w:r>
      <w:r>
        <w:t>万吨/年，其中统计的表面涂装重点调查企业的排放量约占比17.8%。表面涂装行业是我省重点VOCs放行业，据不完全统计我省涉涂装工序的企业达一万余家，企业数量多，挥发性有机物排放量大。</w:t>
      </w:r>
    </w:p>
    <w:p w14:paraId="26D39441">
      <w:pPr>
        <w:ind w:firstLine="480"/>
      </w:pPr>
      <w:r>
        <w:t>因此，制定我省表面涂装行业VOCs技术指南，是贯彻落实我省大气污染防治要求、改善我省环境空气质量的迫切需要。</w:t>
      </w:r>
    </w:p>
    <w:p w14:paraId="1DEB46D9">
      <w:pPr>
        <w:pStyle w:val="3"/>
        <w:spacing w:before="0" w:after="0"/>
        <w:rPr>
          <w:rFonts w:ascii="Times New Roman" w:hAnsi="Times New Roman"/>
        </w:rPr>
      </w:pPr>
      <w:bookmarkStart w:id="80" w:name="_Toc5805"/>
      <w:bookmarkStart w:id="81" w:name="_Toc18643"/>
      <w:bookmarkStart w:id="82" w:name="_Toc20726"/>
      <w:bookmarkStart w:id="83" w:name="_Toc29817"/>
      <w:bookmarkStart w:id="84" w:name="_Toc24218"/>
      <w:bookmarkStart w:id="85" w:name="_Toc3680"/>
      <w:bookmarkStart w:id="86" w:name="_Toc2946"/>
      <w:bookmarkStart w:id="87" w:name="_Toc6420"/>
      <w:bookmarkStart w:id="88" w:name="_Toc9555"/>
      <w:bookmarkStart w:id="89" w:name="_Toc5308"/>
      <w:r>
        <w:rPr>
          <w:rFonts w:ascii="Times New Roman" w:hAnsi="Times New Roman"/>
        </w:rPr>
        <w:t>2.2引导行业可持续发展的需要</w:t>
      </w:r>
      <w:bookmarkEnd w:id="80"/>
      <w:bookmarkEnd w:id="81"/>
      <w:bookmarkEnd w:id="82"/>
      <w:bookmarkEnd w:id="83"/>
      <w:bookmarkEnd w:id="84"/>
      <w:bookmarkEnd w:id="85"/>
      <w:bookmarkEnd w:id="86"/>
      <w:bookmarkEnd w:id="87"/>
      <w:bookmarkEnd w:id="88"/>
      <w:bookmarkEnd w:id="89"/>
    </w:p>
    <w:p w14:paraId="6609C660">
      <w:pPr>
        <w:ind w:firstLine="480"/>
        <w:jc w:val="left"/>
      </w:pPr>
      <w:r>
        <w:t>《大气污染防治行动计划》实施以来，国家及我省不断加强VOCs污染防治</w:t>
      </w:r>
      <w:r>
        <w:rPr>
          <w:rFonts w:hint="eastAsia"/>
          <w:lang w:eastAsia="zh-CN"/>
        </w:rPr>
        <w:t>工作</w:t>
      </w:r>
      <w:r>
        <w:t>出台了大批文件，对VOCs污染防治提出了具体要求。《大气污染防治行动计划》提出“在石化、有机化工、表面涂装、包装印刷等行业实施挥发性有机物综合整治”；《江西省十四五生态环境保护规划》提到“大力推进重点行业挥发性有机物综合治理。实施挥发性有机物排放总量控制。”《江西省重点行业挥发性有机物综合治理方案的通知（赣环大气〔2019〕》，明确提出大力推动重点行业开展挥发性有机物专项治理，坚持突出重点、以点带面、分步实施的原则，加强重点行业工艺过程无组织排放控制和废气治理，提升企业工艺装备水平和挥发性有机物污染防治水平。制定《挥发性有机物污染防治技术指南（试行）第1部分：表面涂装行业》有利于落实国家及我省一系列相关政策法规，对加强表面涂装行业挥发性有机物排放管控，促进生产工艺和污染防治技术进步，引导产业转型升级，实现可持续发展具有重要意义。</w:t>
      </w:r>
    </w:p>
    <w:p w14:paraId="200C3F06">
      <w:pPr>
        <w:pStyle w:val="3"/>
        <w:spacing w:before="0" w:after="0"/>
        <w:rPr>
          <w:rFonts w:ascii="Times New Roman" w:hAnsi="Times New Roman"/>
        </w:rPr>
      </w:pPr>
      <w:bookmarkStart w:id="90" w:name="_Toc9826"/>
      <w:bookmarkStart w:id="91" w:name="_Toc23615"/>
      <w:bookmarkStart w:id="92" w:name="_Toc2067"/>
      <w:bookmarkStart w:id="93" w:name="_Toc6362"/>
      <w:bookmarkStart w:id="94" w:name="_Toc27281"/>
      <w:bookmarkStart w:id="95" w:name="_Toc25815"/>
      <w:bookmarkStart w:id="96" w:name="_Toc11686"/>
      <w:r>
        <w:rPr>
          <w:rFonts w:ascii="Times New Roman" w:hAnsi="Times New Roman"/>
        </w:rPr>
        <w:t>2.3完善我省环境保护标准体系的需要</w:t>
      </w:r>
      <w:bookmarkEnd w:id="90"/>
      <w:bookmarkEnd w:id="91"/>
      <w:bookmarkEnd w:id="92"/>
      <w:bookmarkEnd w:id="93"/>
      <w:bookmarkEnd w:id="94"/>
      <w:bookmarkEnd w:id="95"/>
      <w:bookmarkEnd w:id="96"/>
    </w:p>
    <w:p w14:paraId="10DA7D1C">
      <w:pPr>
        <w:ind w:firstLine="480"/>
        <w:jc w:val="left"/>
      </w:pPr>
      <w:r>
        <w:t>随着我省经济发展，对于排放VOCs的企业来说，产品结构逐渐多元化，涂装材料种类以及形态各异，涂装过程中所使用涂料的类型及工序也各异，造成VOCs排放环节和排放特征也各有不同，不利于涂装过程中VOCs排放控制；企业要想达标排放，迫切需要实用技术来指导防治挥发性有机污染物。</w:t>
      </w:r>
    </w:p>
    <w:p w14:paraId="28FE49EE">
      <w:pPr>
        <w:ind w:firstLine="480"/>
        <w:jc w:val="left"/>
      </w:pPr>
      <w:r>
        <w:t>为了强化企业污染源挥发性有机物控制水平，我省相继发布实施了六项挥发性有机物排放标准、重点行业VOCs现场核查指南以及重点行业VOCs污染物控制手册，对我省重点行业提出具体的挥发性有机物控制要求，尚未出台专门针对涂装VOCs污染治理控制的指南。因此，制定实施《表面涂装行业VOCs污染防治技术指南》，能指导企业科学防治挥发性有机污染物，对进一步完善我省生态环境标准体系，适应新时期生态环境管理需求有重要意义。</w:t>
      </w:r>
    </w:p>
    <w:p w14:paraId="3E66F020">
      <w:pPr>
        <w:pStyle w:val="3"/>
        <w:spacing w:before="0" w:after="0"/>
        <w:rPr>
          <w:rFonts w:ascii="Times New Roman" w:hAnsi="Times New Roman"/>
        </w:rPr>
      </w:pPr>
      <w:bookmarkStart w:id="97" w:name="_Toc4965"/>
      <w:bookmarkStart w:id="98" w:name="_Toc9321"/>
      <w:bookmarkStart w:id="99" w:name="_Toc781"/>
      <w:bookmarkStart w:id="100" w:name="_Toc9343"/>
      <w:bookmarkStart w:id="101" w:name="_Toc32686"/>
      <w:bookmarkStart w:id="102" w:name="_Toc32590"/>
      <w:bookmarkStart w:id="103" w:name="_Toc10853"/>
      <w:bookmarkStart w:id="104" w:name="_Toc22508"/>
      <w:bookmarkStart w:id="105" w:name="_Toc17744"/>
      <w:r>
        <w:rPr>
          <w:rFonts w:ascii="Times New Roman" w:hAnsi="Times New Roman"/>
        </w:rPr>
        <w:t>2.4污染治理水平提高的需要</w:t>
      </w:r>
      <w:bookmarkEnd w:id="97"/>
      <w:bookmarkEnd w:id="98"/>
      <w:bookmarkEnd w:id="99"/>
      <w:bookmarkEnd w:id="100"/>
      <w:bookmarkEnd w:id="101"/>
      <w:bookmarkEnd w:id="102"/>
      <w:bookmarkEnd w:id="103"/>
      <w:bookmarkEnd w:id="104"/>
      <w:bookmarkEnd w:id="105"/>
    </w:p>
    <w:p w14:paraId="1BA0B812">
      <w:pPr>
        <w:ind w:firstLine="480" w:firstLineChars="0"/>
        <w:jc w:val="left"/>
      </w:pPr>
      <w:r>
        <w:t>目前，我省存在涂装工序的现有企业所采用的涂料主要是溶剂型涂料，高固份涂料、水性涂料、粉末涂料等低VOCs量涂料在不同行业中所占比例不高，总体水平较低；现有企业涂装工艺涂料使用效率低的空气喷涂、手工刷涂为主，而涂料使用效率较高的浸涂、淋涂、辊涂、静电喷涂技术所占的比例很小，因此在生产过程中不可避免的产生大量的有机溶剂挥发；加上这些企业多数规模不大，缺乏有针对性的技术指导以及法律标准要求，涂装过程中挥发的有机溶剂的收集、治理效果不佳。制定工业涂装业挥发性有机物排放标准，不仅可以有效引导企业采用更环保的低VOCS原料、更先进的涂装工艺、更高效的末端处理技术，为涂装行业规范发展明确方向。</w:t>
      </w:r>
    </w:p>
    <w:p w14:paraId="7FC24DF9">
      <w:pPr>
        <w:pStyle w:val="2"/>
        <w:spacing w:before="0" w:after="0"/>
        <w:jc w:val="center"/>
        <w:rPr>
          <w:szCs w:val="21"/>
        </w:rPr>
      </w:pPr>
      <w:bookmarkStart w:id="106" w:name="_Toc2656"/>
      <w:bookmarkStart w:id="107" w:name="_Toc18489"/>
      <w:bookmarkStart w:id="108" w:name="_Toc16214"/>
      <w:bookmarkStart w:id="109" w:name="_Toc12799"/>
      <w:bookmarkStart w:id="110" w:name="_Toc17460"/>
      <w:bookmarkStart w:id="111" w:name="_Toc222"/>
      <w:bookmarkStart w:id="112" w:name="_Toc18120"/>
      <w:bookmarkStart w:id="113" w:name="_Toc13400"/>
      <w:bookmarkStart w:id="114" w:name="_Toc19537"/>
      <w:bookmarkStart w:id="115" w:name="_Toc2617"/>
      <w:r>
        <w:rPr>
          <w:szCs w:val="21"/>
        </w:rPr>
        <w:t>3</w:t>
      </w:r>
      <w:r>
        <w:rPr>
          <w:rFonts w:hint="eastAsia"/>
          <w:szCs w:val="21"/>
        </w:rPr>
        <w:t>行业生产与污染防治技术现状</w:t>
      </w:r>
      <w:bookmarkEnd w:id="106"/>
      <w:bookmarkEnd w:id="107"/>
      <w:bookmarkEnd w:id="108"/>
      <w:bookmarkEnd w:id="109"/>
      <w:bookmarkEnd w:id="110"/>
      <w:bookmarkEnd w:id="111"/>
      <w:bookmarkEnd w:id="112"/>
      <w:r>
        <w:rPr>
          <w:szCs w:val="21"/>
        </w:rPr>
        <w:t xml:space="preserve">     </w:t>
      </w:r>
    </w:p>
    <w:p w14:paraId="5C363594">
      <w:pPr>
        <w:pStyle w:val="3"/>
        <w:spacing w:before="0" w:after="0"/>
        <w:rPr>
          <w:rFonts w:ascii="Times New Roman" w:hAnsi="Times New Roman"/>
        </w:rPr>
      </w:pPr>
      <w:bookmarkStart w:id="116" w:name="_Toc25018"/>
      <w:bookmarkStart w:id="117" w:name="_Toc10891"/>
      <w:bookmarkStart w:id="118" w:name="_Toc9213"/>
      <w:bookmarkStart w:id="119" w:name="_Toc2413"/>
      <w:bookmarkStart w:id="120" w:name="_Toc22268"/>
      <w:bookmarkStart w:id="121" w:name="_Toc437"/>
      <w:bookmarkStart w:id="122" w:name="_Toc32381"/>
      <w:r>
        <w:rPr>
          <w:rFonts w:ascii="Times New Roman" w:hAnsi="Times New Roman"/>
        </w:rPr>
        <w:t>3.1表面涂装行业发展概况</w:t>
      </w:r>
      <w:bookmarkEnd w:id="116"/>
      <w:bookmarkEnd w:id="117"/>
      <w:bookmarkEnd w:id="118"/>
      <w:bookmarkEnd w:id="119"/>
      <w:bookmarkEnd w:id="120"/>
      <w:bookmarkEnd w:id="121"/>
      <w:bookmarkEnd w:id="122"/>
    </w:p>
    <w:p w14:paraId="26B24CCD">
      <w:pPr>
        <w:pStyle w:val="4"/>
        <w:spacing w:before="0" w:after="0"/>
      </w:pPr>
      <w:bookmarkStart w:id="123" w:name="_Toc7354"/>
      <w:bookmarkStart w:id="124" w:name="_Toc11019"/>
      <w:bookmarkStart w:id="125" w:name="_Toc31650"/>
      <w:bookmarkStart w:id="126" w:name="_Toc21273"/>
      <w:r>
        <w:t>3.1.1总体概况</w:t>
      </w:r>
      <w:bookmarkEnd w:id="123"/>
      <w:bookmarkEnd w:id="124"/>
      <w:bookmarkEnd w:id="125"/>
      <w:bookmarkEnd w:id="126"/>
    </w:p>
    <w:p w14:paraId="21392CBE">
      <w:pPr>
        <w:widowControl/>
        <w:ind w:firstLine="480"/>
        <w:jc w:val="left"/>
        <w:rPr>
          <w:lang w:bidi="ar"/>
        </w:rPr>
      </w:pPr>
      <w:r>
        <w:rPr>
          <w:lang w:bidi="ar"/>
        </w:rPr>
        <w:t>2023</w:t>
      </w:r>
      <w:r>
        <w:rPr>
          <w:rFonts w:hint="eastAsia"/>
          <w:lang w:bidi="ar"/>
        </w:rPr>
        <w:t>年，虽然全球经济面临诸多挑战，江西的工业依然表现出色，规模以上工业增加值同比增长了</w:t>
      </w:r>
      <w:r>
        <w:rPr>
          <w:lang w:bidi="ar"/>
        </w:rPr>
        <w:t>8.4%</w:t>
      </w:r>
      <w:r>
        <w:rPr>
          <w:rFonts w:hint="eastAsia"/>
          <w:lang w:bidi="ar"/>
        </w:rPr>
        <w:t>，全</w:t>
      </w:r>
      <w:r>
        <w:rPr>
          <w:lang w:bidi="ar"/>
        </w:rPr>
        <w:t>省制造业高质量发展要实现规模总量新跨越，规模以上工业增加值年均增长7%左右，工业增加值突破万亿元、达到1.3万亿元，力争1.5万亿元，占全省GDP比重在1/3以上，制造业占比保持总体稳定</w:t>
      </w:r>
      <w:r>
        <w:rPr>
          <w:rFonts w:hint="eastAsia"/>
          <w:lang w:bidi="ar"/>
        </w:rPr>
        <w:t>。</w:t>
      </w:r>
    </w:p>
    <w:p w14:paraId="29762774">
      <w:pPr>
        <w:widowControl/>
        <w:ind w:firstLine="480"/>
        <w:jc w:val="left"/>
        <w:rPr>
          <w:lang w:bidi="ar"/>
        </w:rPr>
      </w:pPr>
      <w:r>
        <w:rPr>
          <w:rFonts w:hint="eastAsia"/>
          <w:lang w:bidi="ar"/>
        </w:rPr>
        <w:t>根据</w:t>
      </w:r>
      <w:r>
        <w:rPr>
          <w:lang w:bidi="ar"/>
        </w:rPr>
        <w:t>《江西省“十四五”制造业高质量发展规划》</w:t>
      </w:r>
      <w:r>
        <w:rPr>
          <w:rFonts w:hint="eastAsia"/>
          <w:lang w:bidi="ar"/>
        </w:rPr>
        <w:t>，我省</w:t>
      </w:r>
      <w:r>
        <w:rPr>
          <w:rFonts w:hint="eastAsia"/>
          <w:lang w:eastAsia="zh-CN" w:bidi="ar"/>
        </w:rPr>
        <w:t>坚持</w:t>
      </w:r>
      <w:r>
        <w:rPr>
          <w:lang w:bidi="ar"/>
        </w:rPr>
        <w:t>以推动高质量跨越式发展为主题，以深化供给侧结构性改革为主线，以改革创新为根本动力，以智能制造为主攻方向，着力打好产业基础高级化、产业链现代化攻坚战，着力构建以数字经济为引领、以先进制造业为主体、先进制造业与现代服务业融合发展的现代产业体系，着力打造中部制造业高质量发展示范区、全国传统产业转型升级高地和新兴产业培育发展高地，努力夯实江西打造全国构建新发展格局重要战略支点的产业支撑，重塑“江西制造”辉煌</w:t>
      </w:r>
      <w:r>
        <w:rPr>
          <w:rFonts w:hint="eastAsia"/>
          <w:lang w:bidi="ar"/>
        </w:rPr>
        <w:t>。</w:t>
      </w:r>
    </w:p>
    <w:p w14:paraId="4F270EE7">
      <w:pPr>
        <w:widowControl/>
        <w:ind w:firstLine="480"/>
        <w:jc w:val="left"/>
        <w:rPr>
          <w:lang w:bidi="ar"/>
        </w:rPr>
      </w:pPr>
      <w:r>
        <w:rPr>
          <w:lang w:bidi="ar"/>
        </w:rPr>
        <w:t>江西省现有涉表面涂装企业万余家，全省各地市均有分布，涉及家具制造业、金属制品业、通用及专用设备制造业、汽车制造业等众多行业。</w:t>
      </w:r>
    </w:p>
    <w:p w14:paraId="2873A343">
      <w:pPr>
        <w:pStyle w:val="4"/>
        <w:spacing w:before="0" w:after="0"/>
      </w:pPr>
      <w:bookmarkStart w:id="127" w:name="_Toc11062"/>
      <w:bookmarkStart w:id="128" w:name="_Toc14658"/>
      <w:bookmarkStart w:id="129" w:name="_Toc12654"/>
      <w:bookmarkStart w:id="130" w:name="_Toc14008"/>
      <w:r>
        <w:t>3.1.2企业调查情况</w:t>
      </w:r>
      <w:bookmarkEnd w:id="127"/>
      <w:bookmarkEnd w:id="128"/>
      <w:bookmarkEnd w:id="129"/>
      <w:bookmarkEnd w:id="130"/>
    </w:p>
    <w:p w14:paraId="774B1807">
      <w:pPr>
        <w:pStyle w:val="5"/>
        <w:keepNext w:val="0"/>
        <w:keepLines w:val="0"/>
        <w:widowControl/>
        <w:jc w:val="left"/>
        <w:rPr>
          <w:rFonts w:ascii="Times New Roman" w:hAnsi="Times New Roman"/>
        </w:rPr>
      </w:pPr>
      <w:r>
        <w:rPr>
          <w:rFonts w:ascii="Times New Roman" w:hAnsi="Times New Roman"/>
          <w:kern w:val="0"/>
          <w:szCs w:val="32"/>
          <w:lang w:bidi="ar"/>
        </w:rPr>
        <w:t>3.1.2.1行业分布</w:t>
      </w:r>
    </w:p>
    <w:p w14:paraId="16E5CAD1">
      <w:pPr>
        <w:widowControl/>
        <w:ind w:firstLine="480"/>
        <w:jc w:val="left"/>
        <w:rPr>
          <w:lang w:bidi="ar"/>
        </w:rPr>
      </w:pPr>
      <w:r>
        <w:rPr>
          <w:lang w:bidi="ar"/>
        </w:rPr>
        <w:t>根据</w:t>
      </w:r>
      <w:r>
        <w:rPr>
          <w:rFonts w:hint="eastAsia"/>
          <w:lang w:bidi="ar"/>
        </w:rPr>
        <w:t>前期</w:t>
      </w:r>
      <w:r>
        <w:rPr>
          <w:rFonts w:hint="eastAsia"/>
          <w:lang w:eastAsia="zh-CN" w:bidi="ar"/>
        </w:rPr>
        <w:t>调研</w:t>
      </w:r>
      <w:r>
        <w:rPr>
          <w:rFonts w:hint="eastAsia"/>
          <w:lang w:bidi="ar"/>
        </w:rPr>
        <w:t>工作，</w:t>
      </w:r>
      <w:r>
        <w:rPr>
          <w:lang w:bidi="ar"/>
        </w:rPr>
        <w:t>我省涉表面涂装行业主要包括</w:t>
      </w:r>
      <w:r>
        <w:rPr>
          <w:rFonts w:hint="eastAsia"/>
        </w:rPr>
        <w:t>家具制造业（</w:t>
      </w:r>
      <w:r>
        <w:t>C21</w:t>
      </w:r>
      <w:r>
        <w:rPr>
          <w:rFonts w:hint="eastAsia"/>
        </w:rPr>
        <w:t>）、金属制品业（</w:t>
      </w:r>
      <w:r>
        <w:t>C33</w:t>
      </w:r>
      <w:r>
        <w:rPr>
          <w:rFonts w:hint="eastAsia"/>
        </w:rPr>
        <w:t>）、通用设备制造业</w:t>
      </w:r>
      <w:r>
        <w:t>(C34)</w:t>
      </w:r>
      <w:r>
        <w:rPr>
          <w:rFonts w:hint="eastAsia"/>
        </w:rPr>
        <w:t>、专用设备制造业</w:t>
      </w:r>
      <w:r>
        <w:t>(C35)</w:t>
      </w:r>
      <w:r>
        <w:rPr>
          <w:rFonts w:hint="eastAsia"/>
        </w:rPr>
        <w:t>、汽车制造业</w:t>
      </w:r>
      <w:r>
        <w:t>(C36)</w:t>
      </w:r>
      <w:r>
        <w:rPr>
          <w:rFonts w:hint="eastAsia"/>
        </w:rPr>
        <w:t>、铁路、船舶、航空航天和其他运输设备制造业</w:t>
      </w:r>
      <w:r>
        <w:t>(C37)</w:t>
      </w:r>
      <w:r>
        <w:rPr>
          <w:rFonts w:hint="eastAsia"/>
        </w:rPr>
        <w:t>、金属制品、机械和设备修理业（</w:t>
      </w:r>
      <w:r>
        <w:t>C43</w:t>
      </w:r>
      <w:r>
        <w:rPr>
          <w:rFonts w:hint="eastAsia"/>
        </w:rPr>
        <w:t>）等</w:t>
      </w:r>
      <w:r>
        <w:rPr>
          <w:lang w:bidi="ar"/>
        </w:rPr>
        <w:t>七大类为主。</w:t>
      </w:r>
    </w:p>
    <w:p w14:paraId="08A27A96">
      <w:pPr>
        <w:widowControl/>
        <w:ind w:firstLine="480"/>
        <w:jc w:val="left"/>
        <w:rPr>
          <w:lang w:bidi="ar"/>
        </w:rPr>
      </w:pPr>
      <w:r>
        <w:rPr>
          <w:lang w:bidi="ar"/>
        </w:rPr>
        <w:t>本次搜集到了202</w:t>
      </w:r>
      <w:r>
        <w:rPr>
          <w:rFonts w:hint="eastAsia"/>
          <w:lang w:bidi="ar"/>
        </w:rPr>
        <w:t>3</w:t>
      </w:r>
      <w:r>
        <w:rPr>
          <w:lang w:bidi="ar"/>
        </w:rPr>
        <w:t>年全省重点相关企业环统数据的基本信息，按此七大类别统计整体企业数量情况见表3.1-1。</w:t>
      </w:r>
    </w:p>
    <w:p w14:paraId="5C458AFB">
      <w:pPr>
        <w:widowControl/>
        <w:spacing w:line="240" w:lineRule="atLeast"/>
        <w:ind w:firstLine="482"/>
        <w:jc w:val="center"/>
        <w:rPr>
          <w:b/>
          <w:bCs/>
          <w:lang w:bidi="ar"/>
        </w:rPr>
      </w:pPr>
      <w:r>
        <w:rPr>
          <w:b/>
          <w:bCs/>
          <w:lang w:bidi="ar"/>
        </w:rPr>
        <w:t>表3.1-1我省涉表面涂装行业重要企业类别数量统计表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4082"/>
        <w:gridCol w:w="1704"/>
        <w:gridCol w:w="1503"/>
      </w:tblGrid>
      <w:tr w14:paraId="58F5F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909" w:type="dxa"/>
            <w:vAlign w:val="center"/>
          </w:tcPr>
          <w:p w14:paraId="72F1ABC0">
            <w:pPr>
              <w:widowControl/>
              <w:spacing w:line="240" w:lineRule="atLeast"/>
              <w:ind w:firstLine="0" w:firstLineChars="0"/>
              <w:jc w:val="center"/>
              <w:rPr>
                <w:b/>
                <w:bCs/>
                <w:lang w:bidi="ar"/>
              </w:rPr>
            </w:pPr>
            <w:r>
              <w:rPr>
                <w:b/>
                <w:bCs/>
                <w:lang w:bidi="ar"/>
              </w:rPr>
              <w:t>序号</w:t>
            </w:r>
          </w:p>
        </w:tc>
        <w:tc>
          <w:tcPr>
            <w:tcW w:w="4082" w:type="dxa"/>
            <w:vAlign w:val="center"/>
          </w:tcPr>
          <w:p w14:paraId="3C56EC85">
            <w:pPr>
              <w:widowControl/>
              <w:spacing w:line="240" w:lineRule="atLeast"/>
              <w:ind w:firstLine="0" w:firstLineChars="0"/>
              <w:jc w:val="center"/>
              <w:rPr>
                <w:b/>
                <w:bCs/>
                <w:lang w:bidi="ar"/>
              </w:rPr>
            </w:pPr>
            <w:r>
              <w:rPr>
                <w:b/>
                <w:bCs/>
                <w:lang w:bidi="ar"/>
              </w:rPr>
              <w:t>国民经济行业类别</w:t>
            </w:r>
          </w:p>
        </w:tc>
        <w:tc>
          <w:tcPr>
            <w:tcW w:w="1704" w:type="dxa"/>
            <w:vAlign w:val="center"/>
          </w:tcPr>
          <w:p w14:paraId="6DBC8940">
            <w:pPr>
              <w:widowControl/>
              <w:spacing w:line="240" w:lineRule="atLeast"/>
              <w:ind w:firstLine="0" w:firstLineChars="0"/>
              <w:jc w:val="center"/>
              <w:rPr>
                <w:b/>
                <w:bCs/>
                <w:lang w:bidi="ar"/>
              </w:rPr>
            </w:pPr>
            <w:r>
              <w:rPr>
                <w:b/>
                <w:bCs/>
                <w:lang w:bidi="ar"/>
              </w:rPr>
              <w:t>企业数量</w:t>
            </w:r>
          </w:p>
        </w:tc>
        <w:tc>
          <w:tcPr>
            <w:tcW w:w="1503" w:type="dxa"/>
            <w:vAlign w:val="center"/>
          </w:tcPr>
          <w:p w14:paraId="74EA3B68">
            <w:pPr>
              <w:widowControl/>
              <w:spacing w:line="240" w:lineRule="atLeast"/>
              <w:ind w:firstLine="0" w:firstLineChars="0"/>
              <w:jc w:val="center"/>
              <w:rPr>
                <w:b/>
                <w:bCs/>
                <w:lang w:bidi="ar"/>
              </w:rPr>
            </w:pPr>
            <w:r>
              <w:rPr>
                <w:b/>
                <w:bCs/>
                <w:lang w:bidi="ar"/>
              </w:rPr>
              <w:t>数量占比</w:t>
            </w:r>
          </w:p>
        </w:tc>
      </w:tr>
      <w:tr w14:paraId="67537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09" w:type="dxa"/>
            <w:vAlign w:val="center"/>
          </w:tcPr>
          <w:p w14:paraId="6F5E1DFC">
            <w:pPr>
              <w:widowControl/>
              <w:spacing w:line="240" w:lineRule="atLeast"/>
              <w:ind w:firstLine="0" w:firstLineChars="0"/>
              <w:jc w:val="center"/>
              <w:rPr>
                <w:lang w:bidi="ar"/>
              </w:rPr>
            </w:pPr>
            <w:r>
              <w:rPr>
                <w:lang w:bidi="ar"/>
              </w:rPr>
              <w:t>1</w:t>
            </w:r>
          </w:p>
        </w:tc>
        <w:tc>
          <w:tcPr>
            <w:tcW w:w="4082" w:type="dxa"/>
            <w:vAlign w:val="center"/>
          </w:tcPr>
          <w:p w14:paraId="08B1341A">
            <w:pPr>
              <w:widowControl/>
              <w:spacing w:line="240" w:lineRule="atLeast"/>
              <w:ind w:firstLine="0" w:firstLineChars="0"/>
              <w:jc w:val="center"/>
              <w:rPr>
                <w:lang w:bidi="ar"/>
              </w:rPr>
            </w:pPr>
            <w:r>
              <w:rPr>
                <w:rFonts w:hint="eastAsia"/>
              </w:rPr>
              <w:t>家具制造业（</w:t>
            </w:r>
            <w:r>
              <w:t>C21</w:t>
            </w:r>
            <w:r>
              <w:rPr>
                <w:rFonts w:hint="eastAsia"/>
              </w:rPr>
              <w:t>）</w:t>
            </w:r>
          </w:p>
        </w:tc>
        <w:tc>
          <w:tcPr>
            <w:tcW w:w="1704" w:type="dxa"/>
            <w:vAlign w:val="center"/>
          </w:tcPr>
          <w:p w14:paraId="11287E20">
            <w:pPr>
              <w:widowControl/>
              <w:spacing w:line="240" w:lineRule="atLeast"/>
              <w:ind w:firstLine="480"/>
              <w:rPr>
                <w:lang w:bidi="ar"/>
              </w:rPr>
            </w:pPr>
            <w:r>
              <w:rPr>
                <w:lang w:bidi="ar"/>
              </w:rPr>
              <w:t>1180</w:t>
            </w:r>
          </w:p>
        </w:tc>
        <w:tc>
          <w:tcPr>
            <w:tcW w:w="1503" w:type="dxa"/>
            <w:vAlign w:val="center"/>
          </w:tcPr>
          <w:p w14:paraId="597B3956">
            <w:pPr>
              <w:widowControl/>
              <w:spacing w:line="240" w:lineRule="atLeast"/>
              <w:ind w:firstLine="0" w:firstLineChars="0"/>
              <w:jc w:val="center"/>
              <w:rPr>
                <w:lang w:bidi="ar"/>
              </w:rPr>
            </w:pPr>
            <w:r>
              <w:rPr>
                <w:lang w:bidi="ar"/>
              </w:rPr>
              <w:t>57.25%</w:t>
            </w:r>
          </w:p>
        </w:tc>
      </w:tr>
      <w:tr w14:paraId="33CA0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09" w:type="dxa"/>
            <w:vAlign w:val="center"/>
          </w:tcPr>
          <w:p w14:paraId="08D90F75">
            <w:pPr>
              <w:widowControl/>
              <w:spacing w:line="240" w:lineRule="atLeast"/>
              <w:ind w:firstLine="0" w:firstLineChars="0"/>
              <w:jc w:val="center"/>
              <w:rPr>
                <w:lang w:bidi="ar"/>
              </w:rPr>
            </w:pPr>
            <w:r>
              <w:rPr>
                <w:lang w:bidi="ar"/>
              </w:rPr>
              <w:t>2</w:t>
            </w:r>
          </w:p>
        </w:tc>
        <w:tc>
          <w:tcPr>
            <w:tcW w:w="4082" w:type="dxa"/>
            <w:vAlign w:val="center"/>
          </w:tcPr>
          <w:p w14:paraId="0A32B547">
            <w:pPr>
              <w:widowControl/>
              <w:spacing w:line="240" w:lineRule="atLeast"/>
              <w:ind w:firstLine="0" w:firstLineChars="0"/>
              <w:jc w:val="center"/>
              <w:rPr>
                <w:lang w:bidi="ar"/>
              </w:rPr>
            </w:pPr>
            <w:r>
              <w:rPr>
                <w:rFonts w:hint="eastAsia"/>
              </w:rPr>
              <w:t>金属制品业（</w:t>
            </w:r>
            <w:r>
              <w:t>C33</w:t>
            </w:r>
            <w:r>
              <w:rPr>
                <w:rFonts w:hint="eastAsia"/>
              </w:rPr>
              <w:t>）</w:t>
            </w:r>
          </w:p>
        </w:tc>
        <w:tc>
          <w:tcPr>
            <w:tcW w:w="1704" w:type="dxa"/>
            <w:vAlign w:val="center"/>
          </w:tcPr>
          <w:p w14:paraId="566119FE">
            <w:pPr>
              <w:widowControl/>
              <w:spacing w:line="240" w:lineRule="atLeast"/>
              <w:ind w:firstLine="480"/>
              <w:rPr>
                <w:lang w:bidi="ar"/>
              </w:rPr>
            </w:pPr>
            <w:r>
              <w:rPr>
                <w:lang w:bidi="ar"/>
              </w:rPr>
              <w:t>354</w:t>
            </w:r>
          </w:p>
        </w:tc>
        <w:tc>
          <w:tcPr>
            <w:tcW w:w="1503" w:type="dxa"/>
            <w:vAlign w:val="center"/>
          </w:tcPr>
          <w:p w14:paraId="662EFDC3">
            <w:pPr>
              <w:widowControl/>
              <w:spacing w:line="240" w:lineRule="atLeast"/>
              <w:ind w:firstLine="0" w:firstLineChars="0"/>
              <w:jc w:val="center"/>
              <w:rPr>
                <w:lang w:bidi="ar"/>
              </w:rPr>
            </w:pPr>
            <w:r>
              <w:rPr>
                <w:lang w:bidi="ar"/>
              </w:rPr>
              <w:t>17.18%</w:t>
            </w:r>
          </w:p>
        </w:tc>
      </w:tr>
      <w:tr w14:paraId="544FD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09" w:type="dxa"/>
            <w:vAlign w:val="center"/>
          </w:tcPr>
          <w:p w14:paraId="69C2D19C">
            <w:pPr>
              <w:widowControl/>
              <w:spacing w:line="240" w:lineRule="atLeast"/>
              <w:ind w:firstLine="0" w:firstLineChars="0"/>
              <w:jc w:val="center"/>
              <w:rPr>
                <w:lang w:bidi="ar"/>
              </w:rPr>
            </w:pPr>
            <w:r>
              <w:rPr>
                <w:lang w:bidi="ar"/>
              </w:rPr>
              <w:t>3</w:t>
            </w:r>
          </w:p>
        </w:tc>
        <w:tc>
          <w:tcPr>
            <w:tcW w:w="4082" w:type="dxa"/>
            <w:vAlign w:val="center"/>
          </w:tcPr>
          <w:p w14:paraId="71F03B84">
            <w:pPr>
              <w:widowControl/>
              <w:spacing w:line="240" w:lineRule="atLeast"/>
              <w:ind w:firstLine="480"/>
              <w:jc w:val="center"/>
              <w:rPr>
                <w:lang w:bidi="ar"/>
              </w:rPr>
            </w:pPr>
            <w:r>
              <w:rPr>
                <w:rFonts w:hint="eastAsia"/>
              </w:rPr>
              <w:t>通用设备制造业</w:t>
            </w:r>
            <w:r>
              <w:t>(C34)</w:t>
            </w:r>
          </w:p>
        </w:tc>
        <w:tc>
          <w:tcPr>
            <w:tcW w:w="1704" w:type="dxa"/>
            <w:vAlign w:val="center"/>
          </w:tcPr>
          <w:p w14:paraId="28281BBC">
            <w:pPr>
              <w:widowControl/>
              <w:spacing w:line="240" w:lineRule="atLeast"/>
              <w:ind w:firstLine="480"/>
              <w:rPr>
                <w:lang w:bidi="ar"/>
              </w:rPr>
            </w:pPr>
            <w:r>
              <w:rPr>
                <w:lang w:bidi="ar"/>
              </w:rPr>
              <w:t>136</w:t>
            </w:r>
          </w:p>
        </w:tc>
        <w:tc>
          <w:tcPr>
            <w:tcW w:w="1503" w:type="dxa"/>
            <w:vAlign w:val="center"/>
          </w:tcPr>
          <w:p w14:paraId="25BCBA9D">
            <w:pPr>
              <w:widowControl/>
              <w:spacing w:line="240" w:lineRule="atLeast"/>
              <w:ind w:firstLine="0" w:firstLineChars="0"/>
              <w:jc w:val="center"/>
              <w:rPr>
                <w:lang w:bidi="ar"/>
              </w:rPr>
            </w:pPr>
            <w:r>
              <w:rPr>
                <w:lang w:bidi="ar"/>
              </w:rPr>
              <w:t>6.60%</w:t>
            </w:r>
          </w:p>
        </w:tc>
      </w:tr>
      <w:tr w14:paraId="34ED9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09" w:type="dxa"/>
            <w:vAlign w:val="center"/>
          </w:tcPr>
          <w:p w14:paraId="17314F10">
            <w:pPr>
              <w:widowControl/>
              <w:spacing w:line="240" w:lineRule="atLeast"/>
              <w:ind w:firstLine="0" w:firstLineChars="0"/>
              <w:jc w:val="center"/>
              <w:rPr>
                <w:lang w:bidi="ar"/>
              </w:rPr>
            </w:pPr>
            <w:r>
              <w:rPr>
                <w:lang w:bidi="ar"/>
              </w:rPr>
              <w:t>4</w:t>
            </w:r>
          </w:p>
        </w:tc>
        <w:tc>
          <w:tcPr>
            <w:tcW w:w="4082" w:type="dxa"/>
            <w:vAlign w:val="center"/>
          </w:tcPr>
          <w:p w14:paraId="59B2D581">
            <w:pPr>
              <w:widowControl/>
              <w:spacing w:line="240" w:lineRule="atLeast"/>
              <w:ind w:firstLine="480"/>
              <w:jc w:val="center"/>
              <w:rPr>
                <w:lang w:bidi="ar"/>
              </w:rPr>
            </w:pPr>
            <w:r>
              <w:rPr>
                <w:rFonts w:hint="eastAsia"/>
              </w:rPr>
              <w:t>专用设备制造业</w:t>
            </w:r>
            <w:r>
              <w:t>(C35)</w:t>
            </w:r>
          </w:p>
        </w:tc>
        <w:tc>
          <w:tcPr>
            <w:tcW w:w="1704" w:type="dxa"/>
            <w:vAlign w:val="center"/>
          </w:tcPr>
          <w:p w14:paraId="3CB594A6">
            <w:pPr>
              <w:widowControl/>
              <w:spacing w:line="240" w:lineRule="atLeast"/>
              <w:ind w:firstLine="480"/>
              <w:rPr>
                <w:lang w:bidi="ar"/>
              </w:rPr>
            </w:pPr>
            <w:r>
              <w:rPr>
                <w:lang w:bidi="ar"/>
              </w:rPr>
              <w:t>107</w:t>
            </w:r>
          </w:p>
        </w:tc>
        <w:tc>
          <w:tcPr>
            <w:tcW w:w="1503" w:type="dxa"/>
            <w:vAlign w:val="center"/>
          </w:tcPr>
          <w:p w14:paraId="1D147588">
            <w:pPr>
              <w:widowControl/>
              <w:spacing w:line="240" w:lineRule="atLeast"/>
              <w:ind w:firstLine="0" w:firstLineChars="0"/>
              <w:jc w:val="center"/>
              <w:rPr>
                <w:lang w:bidi="ar"/>
              </w:rPr>
            </w:pPr>
            <w:r>
              <w:rPr>
                <w:lang w:bidi="ar"/>
              </w:rPr>
              <w:t>5.19%</w:t>
            </w:r>
          </w:p>
        </w:tc>
      </w:tr>
      <w:tr w14:paraId="64381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09" w:type="dxa"/>
            <w:vAlign w:val="center"/>
          </w:tcPr>
          <w:p w14:paraId="19065780">
            <w:pPr>
              <w:widowControl/>
              <w:spacing w:line="240" w:lineRule="atLeast"/>
              <w:ind w:firstLine="0" w:firstLineChars="0"/>
              <w:jc w:val="center"/>
              <w:rPr>
                <w:lang w:bidi="ar"/>
              </w:rPr>
            </w:pPr>
            <w:r>
              <w:rPr>
                <w:lang w:bidi="ar"/>
              </w:rPr>
              <w:t>5</w:t>
            </w:r>
          </w:p>
        </w:tc>
        <w:tc>
          <w:tcPr>
            <w:tcW w:w="4082" w:type="dxa"/>
            <w:vAlign w:val="center"/>
          </w:tcPr>
          <w:p w14:paraId="23579302">
            <w:pPr>
              <w:widowControl/>
              <w:spacing w:line="240" w:lineRule="atLeast"/>
              <w:ind w:firstLine="480"/>
              <w:jc w:val="center"/>
              <w:rPr>
                <w:lang w:bidi="ar"/>
              </w:rPr>
            </w:pPr>
            <w:r>
              <w:rPr>
                <w:rFonts w:hint="eastAsia"/>
              </w:rPr>
              <w:t>汽车制造业</w:t>
            </w:r>
            <w:r>
              <w:t>(C36)</w:t>
            </w:r>
          </w:p>
        </w:tc>
        <w:tc>
          <w:tcPr>
            <w:tcW w:w="1704" w:type="dxa"/>
            <w:vAlign w:val="center"/>
          </w:tcPr>
          <w:p w14:paraId="71AF6E78">
            <w:pPr>
              <w:widowControl/>
              <w:spacing w:line="240" w:lineRule="atLeast"/>
              <w:ind w:firstLine="480"/>
              <w:rPr>
                <w:lang w:bidi="ar"/>
              </w:rPr>
            </w:pPr>
            <w:r>
              <w:rPr>
                <w:lang w:bidi="ar"/>
              </w:rPr>
              <w:t>158</w:t>
            </w:r>
          </w:p>
        </w:tc>
        <w:tc>
          <w:tcPr>
            <w:tcW w:w="1503" w:type="dxa"/>
            <w:vAlign w:val="center"/>
          </w:tcPr>
          <w:p w14:paraId="722DDB04">
            <w:pPr>
              <w:widowControl/>
              <w:spacing w:line="240" w:lineRule="atLeast"/>
              <w:ind w:firstLine="0" w:firstLineChars="0"/>
              <w:jc w:val="center"/>
              <w:rPr>
                <w:lang w:bidi="ar"/>
              </w:rPr>
            </w:pPr>
            <w:r>
              <w:rPr>
                <w:lang w:bidi="ar"/>
              </w:rPr>
              <w:t>7.67%</w:t>
            </w:r>
          </w:p>
        </w:tc>
      </w:tr>
      <w:tr w14:paraId="7C245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909" w:type="dxa"/>
            <w:vAlign w:val="center"/>
          </w:tcPr>
          <w:p w14:paraId="5704233B">
            <w:pPr>
              <w:widowControl/>
              <w:spacing w:line="240" w:lineRule="atLeast"/>
              <w:ind w:firstLine="0" w:firstLineChars="0"/>
              <w:jc w:val="center"/>
              <w:rPr>
                <w:lang w:bidi="ar"/>
              </w:rPr>
            </w:pPr>
            <w:r>
              <w:rPr>
                <w:lang w:bidi="ar"/>
              </w:rPr>
              <w:t>6</w:t>
            </w:r>
          </w:p>
        </w:tc>
        <w:tc>
          <w:tcPr>
            <w:tcW w:w="4082" w:type="dxa"/>
            <w:vAlign w:val="center"/>
          </w:tcPr>
          <w:p w14:paraId="54C860B4">
            <w:pPr>
              <w:widowControl/>
              <w:spacing w:line="240" w:lineRule="atLeast"/>
              <w:ind w:firstLine="0" w:firstLineChars="0"/>
              <w:jc w:val="center"/>
              <w:rPr>
                <w:lang w:bidi="ar"/>
              </w:rPr>
            </w:pPr>
            <w:r>
              <w:rPr>
                <w:rFonts w:hint="eastAsia"/>
              </w:rPr>
              <w:t>铁路、船舶、航空航天和其他运输设备制造业</w:t>
            </w:r>
            <w:r>
              <w:t>(C37)</w:t>
            </w:r>
          </w:p>
        </w:tc>
        <w:tc>
          <w:tcPr>
            <w:tcW w:w="1704" w:type="dxa"/>
            <w:vAlign w:val="center"/>
          </w:tcPr>
          <w:p w14:paraId="2632C42A">
            <w:pPr>
              <w:widowControl/>
              <w:spacing w:line="240" w:lineRule="atLeast"/>
              <w:ind w:firstLine="0" w:firstLineChars="0"/>
              <w:jc w:val="center"/>
              <w:rPr>
                <w:lang w:bidi="ar"/>
              </w:rPr>
            </w:pPr>
            <w:r>
              <w:rPr>
                <w:lang w:bidi="ar"/>
              </w:rPr>
              <w:t>57</w:t>
            </w:r>
          </w:p>
        </w:tc>
        <w:tc>
          <w:tcPr>
            <w:tcW w:w="1503" w:type="dxa"/>
            <w:vAlign w:val="center"/>
          </w:tcPr>
          <w:p w14:paraId="049C52E2">
            <w:pPr>
              <w:widowControl/>
              <w:spacing w:line="240" w:lineRule="atLeast"/>
              <w:ind w:firstLine="0" w:firstLineChars="0"/>
              <w:jc w:val="center"/>
              <w:rPr>
                <w:lang w:bidi="ar"/>
              </w:rPr>
            </w:pPr>
            <w:r>
              <w:rPr>
                <w:lang w:bidi="ar"/>
              </w:rPr>
              <w:t>2.77%</w:t>
            </w:r>
          </w:p>
        </w:tc>
      </w:tr>
      <w:tr w14:paraId="7C575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09" w:type="dxa"/>
            <w:vAlign w:val="center"/>
          </w:tcPr>
          <w:p w14:paraId="1830A195">
            <w:pPr>
              <w:widowControl/>
              <w:spacing w:line="240" w:lineRule="atLeast"/>
              <w:ind w:firstLine="0" w:firstLineChars="0"/>
              <w:jc w:val="center"/>
              <w:rPr>
                <w:lang w:bidi="ar"/>
              </w:rPr>
            </w:pPr>
            <w:r>
              <w:rPr>
                <w:lang w:bidi="ar"/>
              </w:rPr>
              <w:t>7</w:t>
            </w:r>
          </w:p>
        </w:tc>
        <w:tc>
          <w:tcPr>
            <w:tcW w:w="4082" w:type="dxa"/>
            <w:vAlign w:val="center"/>
          </w:tcPr>
          <w:p w14:paraId="1CB38069">
            <w:pPr>
              <w:widowControl/>
              <w:spacing w:line="240" w:lineRule="atLeast"/>
              <w:ind w:firstLine="0" w:firstLineChars="0"/>
              <w:jc w:val="center"/>
              <w:rPr>
                <w:lang w:bidi="ar"/>
              </w:rPr>
            </w:pPr>
            <w:r>
              <w:rPr>
                <w:rFonts w:hint="eastAsia"/>
              </w:rPr>
              <w:t>金属制品、机械和设备修理业（</w:t>
            </w:r>
            <w:r>
              <w:t>C43</w:t>
            </w:r>
            <w:r>
              <w:rPr>
                <w:rFonts w:hint="eastAsia"/>
              </w:rPr>
              <w:t>）</w:t>
            </w:r>
          </w:p>
        </w:tc>
        <w:tc>
          <w:tcPr>
            <w:tcW w:w="1704" w:type="dxa"/>
            <w:vAlign w:val="center"/>
          </w:tcPr>
          <w:p w14:paraId="2D520739">
            <w:pPr>
              <w:widowControl/>
              <w:spacing w:line="240" w:lineRule="atLeast"/>
              <w:ind w:firstLine="0" w:firstLineChars="0"/>
              <w:jc w:val="center"/>
              <w:rPr>
                <w:lang w:bidi="ar"/>
              </w:rPr>
            </w:pPr>
            <w:r>
              <w:rPr>
                <w:lang w:bidi="ar"/>
              </w:rPr>
              <w:t>69</w:t>
            </w:r>
          </w:p>
        </w:tc>
        <w:tc>
          <w:tcPr>
            <w:tcW w:w="1503" w:type="dxa"/>
            <w:vAlign w:val="center"/>
          </w:tcPr>
          <w:p w14:paraId="3EEBEFB2">
            <w:pPr>
              <w:widowControl/>
              <w:spacing w:line="240" w:lineRule="atLeast"/>
              <w:ind w:firstLine="0" w:firstLineChars="0"/>
              <w:jc w:val="center"/>
              <w:rPr>
                <w:lang w:bidi="ar"/>
              </w:rPr>
            </w:pPr>
            <w:r>
              <w:rPr>
                <w:lang w:bidi="ar"/>
              </w:rPr>
              <w:t>3.35%</w:t>
            </w:r>
          </w:p>
        </w:tc>
      </w:tr>
      <w:tr w14:paraId="3DEE7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991" w:type="dxa"/>
            <w:gridSpan w:val="2"/>
            <w:vAlign w:val="center"/>
          </w:tcPr>
          <w:p w14:paraId="3EEED194">
            <w:pPr>
              <w:widowControl/>
              <w:spacing w:line="240" w:lineRule="atLeast"/>
              <w:ind w:firstLine="0" w:firstLineChars="0"/>
              <w:jc w:val="center"/>
            </w:pPr>
            <w:r>
              <w:rPr>
                <w:lang w:bidi="ar"/>
              </w:rPr>
              <w:t>总计</w:t>
            </w:r>
          </w:p>
        </w:tc>
        <w:tc>
          <w:tcPr>
            <w:tcW w:w="1704" w:type="dxa"/>
            <w:vAlign w:val="center"/>
          </w:tcPr>
          <w:p w14:paraId="6AEAE9D0">
            <w:pPr>
              <w:widowControl/>
              <w:spacing w:line="240" w:lineRule="atLeast"/>
              <w:ind w:firstLine="0" w:firstLineChars="0"/>
              <w:jc w:val="center"/>
              <w:rPr>
                <w:lang w:bidi="ar"/>
              </w:rPr>
            </w:pPr>
            <w:r>
              <w:rPr>
                <w:lang w:bidi="ar"/>
              </w:rPr>
              <w:t>2061</w:t>
            </w:r>
          </w:p>
        </w:tc>
        <w:tc>
          <w:tcPr>
            <w:tcW w:w="1503" w:type="dxa"/>
            <w:vAlign w:val="center"/>
          </w:tcPr>
          <w:p w14:paraId="5118C29A">
            <w:pPr>
              <w:widowControl/>
              <w:spacing w:line="240" w:lineRule="atLeast"/>
              <w:ind w:firstLine="480"/>
              <w:rPr>
                <w:lang w:bidi="ar"/>
              </w:rPr>
            </w:pPr>
            <w:r>
              <w:rPr>
                <w:lang w:bidi="ar"/>
              </w:rPr>
              <w:t>100</w:t>
            </w:r>
          </w:p>
        </w:tc>
      </w:tr>
    </w:tbl>
    <w:p w14:paraId="00B6BD2D">
      <w:pPr>
        <w:widowControl/>
        <w:ind w:firstLine="480"/>
        <w:jc w:val="left"/>
      </w:pPr>
    </w:p>
    <w:p w14:paraId="7D840CE2">
      <w:pPr>
        <w:widowControl/>
        <w:ind w:firstLine="480"/>
        <w:jc w:val="center"/>
      </w:pPr>
      <w:r>
        <w:drawing>
          <wp:inline distT="0" distB="0" distL="114300" distR="114300">
            <wp:extent cx="4140200" cy="2623185"/>
            <wp:effectExtent l="0" t="0" r="12700" b="571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DEF3A61">
      <w:pPr>
        <w:widowControl/>
        <w:spacing w:line="240" w:lineRule="atLeast"/>
        <w:ind w:firstLine="482"/>
        <w:jc w:val="center"/>
        <w:rPr>
          <w:b/>
          <w:bCs/>
          <w:lang w:bidi="ar"/>
        </w:rPr>
      </w:pPr>
      <w:r>
        <w:rPr>
          <w:b/>
          <w:bCs/>
          <w:lang w:bidi="ar"/>
        </w:rPr>
        <w:t>图3.1-1江西省表面涂装企业的行业分布图</w:t>
      </w:r>
    </w:p>
    <w:p w14:paraId="6D9F7F6A">
      <w:pPr>
        <w:widowControl/>
        <w:ind w:firstLine="480" w:firstLineChars="0"/>
        <w:jc w:val="left"/>
        <w:rPr>
          <w:lang w:bidi="ar"/>
        </w:rPr>
      </w:pPr>
      <w:r>
        <w:rPr>
          <w:lang w:bidi="ar"/>
        </w:rPr>
        <w:t>从表3.1-1和图3.1-1可知，家具制造业全省约占全行业的57.25%，家具制造业产品较单一，以木质、竹、藤、金属家具制造为主，其中木质家具制造占该行业的95.8%。</w:t>
      </w:r>
    </w:p>
    <w:p w14:paraId="1AE80018">
      <w:pPr>
        <w:widowControl/>
        <w:ind w:firstLine="480" w:firstLineChars="0"/>
        <w:jc w:val="left"/>
        <w:rPr>
          <w:lang w:bidi="ar"/>
        </w:rPr>
      </w:pPr>
      <w:r>
        <w:rPr>
          <w:lang w:bidi="ar"/>
        </w:rPr>
        <w:t>金属制品业约占全行业的17.18%，其中钢结构、焊接构建、五金配件、板材、金属门窗和安全、消防及军用机械金属制品制造占该行业的49.1%。</w:t>
      </w:r>
    </w:p>
    <w:p w14:paraId="5158527D">
      <w:pPr>
        <w:widowControl/>
        <w:ind w:firstLine="480" w:firstLineChars="0"/>
        <w:jc w:val="left"/>
        <w:rPr>
          <w:lang w:bidi="ar"/>
        </w:rPr>
      </w:pPr>
      <w:r>
        <w:rPr>
          <w:lang w:bidi="ar"/>
        </w:rPr>
        <w:t>通用设备制造业约占全行业的6.6%，以铸造机械、锅炉辅助设备、起重机、电梯自动扶梯及升降机、泵及真空设备、滚动轴承、风机、风扇制造为主，约占该行业比85.9%。</w:t>
      </w:r>
    </w:p>
    <w:p w14:paraId="446160F9">
      <w:pPr>
        <w:widowControl/>
        <w:ind w:firstLine="480" w:firstLineChars="0"/>
        <w:jc w:val="left"/>
        <w:rPr>
          <w:lang w:bidi="ar"/>
        </w:rPr>
      </w:pPr>
      <w:r>
        <w:rPr>
          <w:lang w:bidi="ar"/>
        </w:rPr>
        <w:t>专用设备种类较多约占全行业的5.19%，专业设备制造在我省较集中的行业为矿山机械、木材加工机械、模具制造、印刷专用设备、纺织专用设备、环保医疗专用设备、畜牧机械等，约占该行业的82.6%。</w:t>
      </w:r>
    </w:p>
    <w:p w14:paraId="66D208F2">
      <w:pPr>
        <w:widowControl/>
        <w:ind w:firstLine="480" w:firstLineChars="0"/>
        <w:jc w:val="left"/>
        <w:rPr>
          <w:lang w:bidi="ar"/>
        </w:rPr>
      </w:pPr>
      <w:r>
        <w:rPr>
          <w:lang w:bidi="ar"/>
        </w:rPr>
        <w:t>汽车制造业全省约占全行业的7.67%。主要是汽车零部件及配件制造、汽柴油车整车制造、新能源车整车制造，约占该行业的92.8%以上，还有少部分整车制造和汽车车身、挂车制造、汽车用发动机制造等。</w:t>
      </w:r>
    </w:p>
    <w:p w14:paraId="22AE199C">
      <w:pPr>
        <w:widowControl/>
        <w:ind w:firstLine="480" w:firstLineChars="0"/>
        <w:jc w:val="left"/>
        <w:rPr>
          <w:lang w:bidi="ar"/>
        </w:rPr>
      </w:pPr>
      <w:r>
        <w:rPr>
          <w:lang w:bidi="ar"/>
        </w:rPr>
        <w:t>铁路、船舶、航空航天和其他运输设备制造业行业种类多但数量少，约占全行业的2.77%，包括金属船舶、飞机制造、城市轨道交通设备以及铁路机车及其配套等，约69家。</w:t>
      </w:r>
    </w:p>
    <w:p w14:paraId="0C194C84">
      <w:pPr>
        <w:widowControl/>
        <w:ind w:firstLine="480" w:firstLineChars="0"/>
        <w:jc w:val="left"/>
        <w:rPr>
          <w:lang w:bidi="ar"/>
        </w:rPr>
      </w:pPr>
      <w:r>
        <w:rPr>
          <w:rFonts w:hint="eastAsia"/>
        </w:rPr>
        <w:t>金属制品、机械和设备修理业企业数量较小，</w:t>
      </w:r>
      <w:r>
        <w:rPr>
          <w:lang w:bidi="ar"/>
        </w:rPr>
        <w:t>约占全行业的3.35%。主要以金属制品维修，铁路运输设备维修以及其它机械类设备维修为主。</w:t>
      </w:r>
    </w:p>
    <w:p w14:paraId="41992B6F">
      <w:pPr>
        <w:pStyle w:val="5"/>
        <w:keepNext w:val="0"/>
        <w:keepLines w:val="0"/>
        <w:widowControl/>
        <w:jc w:val="left"/>
        <w:rPr>
          <w:rFonts w:ascii="Times New Roman" w:hAnsi="Times New Roman"/>
          <w:kern w:val="0"/>
          <w:szCs w:val="32"/>
          <w:lang w:bidi="ar"/>
        </w:rPr>
      </w:pPr>
      <w:r>
        <w:rPr>
          <w:rFonts w:ascii="Times New Roman" w:hAnsi="Times New Roman"/>
          <w:kern w:val="0"/>
          <w:szCs w:val="32"/>
          <w:lang w:bidi="ar"/>
        </w:rPr>
        <w:t>3.1.2.2区域分布</w:t>
      </w:r>
    </w:p>
    <w:p w14:paraId="2C24261B">
      <w:pPr>
        <w:widowControl/>
        <w:ind w:firstLine="480" w:firstLineChars="0"/>
      </w:pPr>
      <w:r>
        <w:rPr>
          <w:rFonts w:hint="eastAsia"/>
          <w:lang w:bidi="ar"/>
        </w:rPr>
        <w:t>根据</w:t>
      </w:r>
      <w:r>
        <w:rPr>
          <w:lang w:bidi="ar"/>
        </w:rPr>
        <w:t>202</w:t>
      </w:r>
      <w:r>
        <w:rPr>
          <w:rFonts w:hint="eastAsia"/>
          <w:lang w:bidi="ar"/>
        </w:rPr>
        <w:t>3年环统数据统计，表面涂装企业在我省各地市均有分布，其中赣州、上饶、南昌三个地市的表面涂装企业占全省工业涂装企业总数的</w:t>
      </w:r>
      <w:r>
        <w:rPr>
          <w:lang w:bidi="ar"/>
        </w:rPr>
        <w:t>75%</w:t>
      </w:r>
      <w:r>
        <w:rPr>
          <w:rFonts w:hint="eastAsia"/>
          <w:lang w:bidi="ar"/>
        </w:rPr>
        <w:t>以上；该类型企业在鹰潭、新余相对较少，仅占总数的</w:t>
      </w:r>
      <w:r>
        <w:rPr>
          <w:lang w:bidi="ar"/>
        </w:rPr>
        <w:t>5%</w:t>
      </w:r>
      <w:r>
        <w:rPr>
          <w:rFonts w:hint="eastAsia"/>
          <w:lang w:bidi="ar"/>
        </w:rPr>
        <w:t>左右。江西省表面涂装企业的区域分布情况见图</w:t>
      </w:r>
      <w:r>
        <w:rPr>
          <w:lang w:bidi="ar"/>
        </w:rPr>
        <w:t>3.1-2</w:t>
      </w:r>
      <w:r>
        <w:rPr>
          <w:rFonts w:hint="eastAsia"/>
          <w:lang w:bidi="ar"/>
        </w:rPr>
        <w:t>。</w:t>
      </w:r>
    </w:p>
    <w:p w14:paraId="01D6990D">
      <w:pPr>
        <w:widowControl/>
        <w:ind w:firstLine="480"/>
        <w:jc w:val="left"/>
      </w:pPr>
      <w:r>
        <w:drawing>
          <wp:inline distT="0" distB="0" distL="114300" distR="114300">
            <wp:extent cx="4176395" cy="2017395"/>
            <wp:effectExtent l="0" t="0" r="14605" b="19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0BA46E4">
      <w:pPr>
        <w:widowControl/>
        <w:spacing w:line="240" w:lineRule="atLeast"/>
        <w:ind w:firstLine="482"/>
        <w:jc w:val="center"/>
        <w:rPr>
          <w:b/>
          <w:bCs/>
          <w:lang w:bidi="ar"/>
        </w:rPr>
      </w:pPr>
      <w:r>
        <w:rPr>
          <w:b/>
          <w:bCs/>
          <w:lang w:bidi="ar"/>
        </w:rPr>
        <w:t>图3.1-2  江西省表面涂装企业的区域分布图</w:t>
      </w:r>
    </w:p>
    <w:p w14:paraId="253E5107">
      <w:pPr>
        <w:pStyle w:val="5"/>
        <w:keepNext w:val="0"/>
        <w:keepLines w:val="0"/>
        <w:widowControl/>
        <w:spacing w:before="0" w:after="0"/>
        <w:jc w:val="left"/>
        <w:rPr>
          <w:rFonts w:ascii="Times New Roman" w:hAnsi="Times New Roman"/>
          <w:kern w:val="0"/>
          <w:szCs w:val="32"/>
          <w:lang w:bidi="ar"/>
        </w:rPr>
      </w:pPr>
      <w:r>
        <w:rPr>
          <w:rFonts w:ascii="Times New Roman" w:hAnsi="Times New Roman"/>
          <w:kern w:val="0"/>
          <w:szCs w:val="32"/>
          <w:lang w:bidi="ar"/>
        </w:rPr>
        <w:t>3.1.2.3规模分布</w:t>
      </w:r>
    </w:p>
    <w:p w14:paraId="62B74CDD">
      <w:pPr>
        <w:widowControl/>
        <w:ind w:firstLine="480"/>
        <w:rPr>
          <w:b/>
          <w:bCs/>
          <w:lang w:bidi="ar"/>
        </w:rPr>
      </w:pPr>
      <w:r>
        <w:rPr>
          <w:rFonts w:hint="eastAsia"/>
          <w:lang w:bidi="ar"/>
        </w:rPr>
        <w:t>根据</w:t>
      </w:r>
      <w:r>
        <w:rPr>
          <w:lang w:bidi="ar"/>
        </w:rPr>
        <w:t>202</w:t>
      </w:r>
      <w:r>
        <w:rPr>
          <w:rFonts w:hint="eastAsia"/>
          <w:lang w:bidi="ar"/>
        </w:rPr>
        <w:t>3年环统数据统计，我省表面涂装行业以中小型企业为主，占比</w:t>
      </w:r>
      <w:r>
        <w:rPr>
          <w:lang w:bidi="ar"/>
        </w:rPr>
        <w:t>98%</w:t>
      </w:r>
      <w:r>
        <w:rPr>
          <w:rFonts w:hint="eastAsia"/>
          <w:lang w:bidi="ar"/>
        </w:rPr>
        <w:t>以上。见下表</w:t>
      </w:r>
      <w:r>
        <w:rPr>
          <w:lang w:bidi="ar"/>
        </w:rPr>
        <w:t>3.1-3</w:t>
      </w:r>
      <w:r>
        <w:rPr>
          <w:rFonts w:hint="eastAsia"/>
          <w:lang w:bidi="ar"/>
        </w:rPr>
        <w:t>和图</w:t>
      </w:r>
      <w:r>
        <w:rPr>
          <w:lang w:bidi="ar"/>
        </w:rPr>
        <w:t>3.1-3</w:t>
      </w:r>
      <w:r>
        <w:rPr>
          <w:rFonts w:hint="eastAsia"/>
          <w:lang w:bidi="ar"/>
        </w:rPr>
        <w:t>。</w:t>
      </w:r>
    </w:p>
    <w:p w14:paraId="2D0C9387">
      <w:pPr>
        <w:widowControl/>
        <w:spacing w:line="240" w:lineRule="atLeast"/>
        <w:ind w:firstLine="482"/>
        <w:jc w:val="center"/>
        <w:rPr>
          <w:b/>
          <w:bCs/>
          <w:lang w:bidi="ar"/>
        </w:rPr>
      </w:pPr>
      <w:r>
        <w:rPr>
          <w:b/>
          <w:bCs/>
          <w:lang w:bidi="ar"/>
        </w:rPr>
        <w:t>表3.1-3  我省涉表面涂装行业企业规模大小统计表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2139"/>
        <w:gridCol w:w="2220"/>
        <w:gridCol w:w="2023"/>
      </w:tblGrid>
      <w:tr w14:paraId="5956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336" w:type="dxa"/>
            <w:vAlign w:val="center"/>
          </w:tcPr>
          <w:p w14:paraId="56846255">
            <w:pPr>
              <w:widowControl/>
              <w:spacing w:line="240" w:lineRule="atLeast"/>
              <w:ind w:firstLine="0" w:firstLineChars="0"/>
              <w:jc w:val="center"/>
              <w:rPr>
                <w:b/>
                <w:bCs/>
                <w:lang w:bidi="ar"/>
              </w:rPr>
            </w:pPr>
            <w:r>
              <w:rPr>
                <w:b/>
                <w:bCs/>
                <w:lang w:bidi="ar"/>
              </w:rPr>
              <w:t>序号</w:t>
            </w:r>
          </w:p>
        </w:tc>
        <w:tc>
          <w:tcPr>
            <w:tcW w:w="2139" w:type="dxa"/>
            <w:vAlign w:val="center"/>
          </w:tcPr>
          <w:p w14:paraId="2FBD2AE0">
            <w:pPr>
              <w:widowControl/>
              <w:spacing w:line="240" w:lineRule="atLeast"/>
              <w:ind w:firstLine="0" w:firstLineChars="0"/>
              <w:jc w:val="center"/>
              <w:rPr>
                <w:b/>
                <w:bCs/>
                <w:lang w:bidi="ar"/>
              </w:rPr>
            </w:pPr>
            <w:r>
              <w:rPr>
                <w:b/>
                <w:bCs/>
                <w:lang w:bidi="ar"/>
              </w:rPr>
              <w:t>规模类型</w:t>
            </w:r>
          </w:p>
        </w:tc>
        <w:tc>
          <w:tcPr>
            <w:tcW w:w="2220" w:type="dxa"/>
            <w:vAlign w:val="center"/>
          </w:tcPr>
          <w:p w14:paraId="07229E9B">
            <w:pPr>
              <w:widowControl/>
              <w:spacing w:line="240" w:lineRule="atLeast"/>
              <w:ind w:firstLine="0" w:firstLineChars="0"/>
              <w:jc w:val="center"/>
              <w:rPr>
                <w:b/>
                <w:bCs/>
                <w:lang w:bidi="ar"/>
              </w:rPr>
            </w:pPr>
            <w:r>
              <w:rPr>
                <w:b/>
                <w:bCs/>
                <w:lang w:bidi="ar"/>
              </w:rPr>
              <w:t>企业数量</w:t>
            </w:r>
          </w:p>
        </w:tc>
        <w:tc>
          <w:tcPr>
            <w:tcW w:w="2023" w:type="dxa"/>
            <w:vAlign w:val="center"/>
          </w:tcPr>
          <w:p w14:paraId="562B61DF">
            <w:pPr>
              <w:widowControl/>
              <w:spacing w:line="240" w:lineRule="atLeast"/>
              <w:ind w:firstLine="482"/>
              <w:rPr>
                <w:lang w:bidi="ar"/>
              </w:rPr>
            </w:pPr>
            <w:r>
              <w:rPr>
                <w:b/>
                <w:bCs/>
                <w:lang w:bidi="ar"/>
              </w:rPr>
              <w:t>数量占比</w:t>
            </w:r>
          </w:p>
        </w:tc>
      </w:tr>
      <w:tr w14:paraId="60CBA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336" w:type="dxa"/>
            <w:vAlign w:val="center"/>
          </w:tcPr>
          <w:p w14:paraId="66617E22">
            <w:pPr>
              <w:widowControl/>
              <w:spacing w:line="240" w:lineRule="atLeast"/>
              <w:ind w:firstLine="0" w:firstLineChars="0"/>
              <w:jc w:val="center"/>
              <w:rPr>
                <w:lang w:bidi="ar"/>
              </w:rPr>
            </w:pPr>
            <w:r>
              <w:rPr>
                <w:lang w:bidi="ar"/>
              </w:rPr>
              <w:t>1</w:t>
            </w:r>
          </w:p>
        </w:tc>
        <w:tc>
          <w:tcPr>
            <w:tcW w:w="2139" w:type="dxa"/>
            <w:vAlign w:val="center"/>
          </w:tcPr>
          <w:p w14:paraId="4530CCA5">
            <w:pPr>
              <w:widowControl/>
              <w:spacing w:line="240" w:lineRule="atLeast"/>
              <w:ind w:firstLine="0" w:firstLineChars="0"/>
              <w:jc w:val="center"/>
              <w:rPr>
                <w:lang w:bidi="ar"/>
              </w:rPr>
            </w:pPr>
            <w:r>
              <w:rPr>
                <w:rFonts w:hint="eastAsia"/>
                <w:lang w:bidi="ar"/>
              </w:rPr>
              <w:t>大型</w:t>
            </w:r>
          </w:p>
        </w:tc>
        <w:tc>
          <w:tcPr>
            <w:tcW w:w="2220" w:type="dxa"/>
            <w:vAlign w:val="center"/>
          </w:tcPr>
          <w:p w14:paraId="7C27BE2A">
            <w:pPr>
              <w:widowControl/>
              <w:spacing w:line="240" w:lineRule="atLeast"/>
              <w:ind w:firstLine="0" w:firstLineChars="0"/>
              <w:jc w:val="center"/>
              <w:rPr>
                <w:lang w:bidi="ar"/>
              </w:rPr>
            </w:pPr>
            <w:r>
              <w:rPr>
                <w:lang w:bidi="ar"/>
              </w:rPr>
              <w:t>27</w:t>
            </w:r>
          </w:p>
        </w:tc>
        <w:tc>
          <w:tcPr>
            <w:tcW w:w="2023" w:type="dxa"/>
            <w:vAlign w:val="center"/>
          </w:tcPr>
          <w:p w14:paraId="1BB74480">
            <w:pPr>
              <w:widowControl/>
              <w:spacing w:line="240" w:lineRule="atLeast"/>
              <w:ind w:firstLine="0" w:firstLineChars="0"/>
              <w:jc w:val="center"/>
              <w:rPr>
                <w:lang w:bidi="ar"/>
              </w:rPr>
            </w:pPr>
            <w:r>
              <w:rPr>
                <w:lang w:bidi="ar"/>
              </w:rPr>
              <w:t>1.31%</w:t>
            </w:r>
          </w:p>
        </w:tc>
      </w:tr>
      <w:tr w14:paraId="7F44F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336" w:type="dxa"/>
            <w:vAlign w:val="center"/>
          </w:tcPr>
          <w:p w14:paraId="7F61D12D">
            <w:pPr>
              <w:widowControl/>
              <w:spacing w:line="240" w:lineRule="atLeast"/>
              <w:ind w:firstLine="0" w:firstLineChars="0"/>
              <w:jc w:val="center"/>
              <w:rPr>
                <w:lang w:bidi="ar"/>
              </w:rPr>
            </w:pPr>
            <w:r>
              <w:rPr>
                <w:lang w:bidi="ar"/>
              </w:rPr>
              <w:t>2</w:t>
            </w:r>
          </w:p>
        </w:tc>
        <w:tc>
          <w:tcPr>
            <w:tcW w:w="2139" w:type="dxa"/>
            <w:vAlign w:val="center"/>
          </w:tcPr>
          <w:p w14:paraId="66A2A39B">
            <w:pPr>
              <w:widowControl/>
              <w:spacing w:line="240" w:lineRule="atLeast"/>
              <w:ind w:firstLine="0" w:firstLineChars="0"/>
              <w:jc w:val="center"/>
              <w:rPr>
                <w:lang w:bidi="ar"/>
              </w:rPr>
            </w:pPr>
            <w:r>
              <w:rPr>
                <w:lang w:bidi="ar"/>
              </w:rPr>
              <w:t>中型</w:t>
            </w:r>
          </w:p>
        </w:tc>
        <w:tc>
          <w:tcPr>
            <w:tcW w:w="2220" w:type="dxa"/>
            <w:vAlign w:val="center"/>
          </w:tcPr>
          <w:p w14:paraId="086B5FAF">
            <w:pPr>
              <w:widowControl/>
              <w:spacing w:line="240" w:lineRule="atLeast"/>
              <w:ind w:firstLine="0" w:firstLineChars="0"/>
              <w:jc w:val="center"/>
              <w:rPr>
                <w:lang w:bidi="ar"/>
              </w:rPr>
            </w:pPr>
            <w:r>
              <w:rPr>
                <w:lang w:bidi="ar"/>
              </w:rPr>
              <w:t>786</w:t>
            </w:r>
          </w:p>
        </w:tc>
        <w:tc>
          <w:tcPr>
            <w:tcW w:w="2023" w:type="dxa"/>
            <w:vAlign w:val="center"/>
          </w:tcPr>
          <w:p w14:paraId="1A425F0B">
            <w:pPr>
              <w:widowControl/>
              <w:spacing w:line="240" w:lineRule="atLeast"/>
              <w:ind w:firstLine="0" w:firstLineChars="0"/>
              <w:jc w:val="center"/>
              <w:rPr>
                <w:lang w:bidi="ar"/>
              </w:rPr>
            </w:pPr>
            <w:r>
              <w:rPr>
                <w:lang w:bidi="ar"/>
              </w:rPr>
              <w:t>38.14%</w:t>
            </w:r>
          </w:p>
        </w:tc>
      </w:tr>
      <w:tr w14:paraId="2D4DC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336" w:type="dxa"/>
            <w:vAlign w:val="center"/>
          </w:tcPr>
          <w:p w14:paraId="12FB3AE7">
            <w:pPr>
              <w:widowControl/>
              <w:spacing w:line="240" w:lineRule="atLeast"/>
              <w:ind w:firstLine="0" w:firstLineChars="0"/>
              <w:jc w:val="center"/>
              <w:rPr>
                <w:lang w:bidi="ar"/>
              </w:rPr>
            </w:pPr>
            <w:r>
              <w:rPr>
                <w:lang w:bidi="ar"/>
              </w:rPr>
              <w:t>3</w:t>
            </w:r>
          </w:p>
        </w:tc>
        <w:tc>
          <w:tcPr>
            <w:tcW w:w="2139" w:type="dxa"/>
            <w:vAlign w:val="center"/>
          </w:tcPr>
          <w:p w14:paraId="4B0F75FA">
            <w:pPr>
              <w:widowControl/>
              <w:spacing w:line="240" w:lineRule="atLeast"/>
              <w:ind w:firstLine="0" w:firstLineChars="0"/>
              <w:jc w:val="center"/>
              <w:rPr>
                <w:lang w:bidi="ar"/>
              </w:rPr>
            </w:pPr>
            <w:r>
              <w:rPr>
                <w:lang w:bidi="ar"/>
              </w:rPr>
              <w:t>小型</w:t>
            </w:r>
          </w:p>
        </w:tc>
        <w:tc>
          <w:tcPr>
            <w:tcW w:w="2220" w:type="dxa"/>
            <w:vAlign w:val="center"/>
          </w:tcPr>
          <w:p w14:paraId="2B2DCB4B">
            <w:pPr>
              <w:widowControl/>
              <w:spacing w:line="240" w:lineRule="atLeast"/>
              <w:ind w:firstLine="0" w:firstLineChars="0"/>
              <w:jc w:val="center"/>
              <w:rPr>
                <w:lang w:bidi="ar"/>
              </w:rPr>
            </w:pPr>
            <w:r>
              <w:rPr>
                <w:lang w:bidi="ar"/>
              </w:rPr>
              <w:t>1027</w:t>
            </w:r>
          </w:p>
        </w:tc>
        <w:tc>
          <w:tcPr>
            <w:tcW w:w="2023" w:type="dxa"/>
            <w:vAlign w:val="center"/>
          </w:tcPr>
          <w:p w14:paraId="16DCBD10">
            <w:pPr>
              <w:widowControl/>
              <w:spacing w:line="240" w:lineRule="atLeast"/>
              <w:ind w:firstLine="0" w:firstLineChars="0"/>
              <w:jc w:val="center"/>
              <w:rPr>
                <w:lang w:bidi="ar"/>
              </w:rPr>
            </w:pPr>
            <w:r>
              <w:rPr>
                <w:lang w:bidi="ar"/>
              </w:rPr>
              <w:t>49.83%</w:t>
            </w:r>
          </w:p>
        </w:tc>
      </w:tr>
      <w:tr w14:paraId="01B3F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336" w:type="dxa"/>
            <w:vAlign w:val="center"/>
          </w:tcPr>
          <w:p w14:paraId="1BD2BAAB">
            <w:pPr>
              <w:widowControl/>
              <w:spacing w:line="240" w:lineRule="atLeast"/>
              <w:ind w:firstLine="0" w:firstLineChars="0"/>
              <w:jc w:val="center"/>
              <w:rPr>
                <w:lang w:bidi="ar"/>
              </w:rPr>
            </w:pPr>
            <w:r>
              <w:rPr>
                <w:lang w:bidi="ar"/>
              </w:rPr>
              <w:t>4</w:t>
            </w:r>
          </w:p>
        </w:tc>
        <w:tc>
          <w:tcPr>
            <w:tcW w:w="2139" w:type="dxa"/>
            <w:vAlign w:val="center"/>
          </w:tcPr>
          <w:p w14:paraId="7E4FF64D">
            <w:pPr>
              <w:widowControl/>
              <w:spacing w:line="240" w:lineRule="atLeast"/>
              <w:ind w:firstLine="0" w:firstLineChars="0"/>
              <w:jc w:val="center"/>
              <w:rPr>
                <w:lang w:bidi="ar"/>
              </w:rPr>
            </w:pPr>
            <w:r>
              <w:rPr>
                <w:lang w:bidi="ar"/>
              </w:rPr>
              <w:t>微型</w:t>
            </w:r>
          </w:p>
        </w:tc>
        <w:tc>
          <w:tcPr>
            <w:tcW w:w="2220" w:type="dxa"/>
            <w:vAlign w:val="center"/>
          </w:tcPr>
          <w:p w14:paraId="5CA8F36A">
            <w:pPr>
              <w:widowControl/>
              <w:spacing w:line="240" w:lineRule="atLeast"/>
              <w:ind w:firstLine="0" w:firstLineChars="0"/>
              <w:jc w:val="center"/>
              <w:rPr>
                <w:lang w:bidi="ar"/>
              </w:rPr>
            </w:pPr>
            <w:r>
              <w:rPr>
                <w:lang w:bidi="ar"/>
              </w:rPr>
              <w:t>221</w:t>
            </w:r>
          </w:p>
        </w:tc>
        <w:tc>
          <w:tcPr>
            <w:tcW w:w="2023" w:type="dxa"/>
            <w:vAlign w:val="center"/>
          </w:tcPr>
          <w:p w14:paraId="588F04B2">
            <w:pPr>
              <w:widowControl/>
              <w:spacing w:line="240" w:lineRule="atLeast"/>
              <w:ind w:firstLine="0" w:firstLineChars="0"/>
              <w:jc w:val="center"/>
              <w:rPr>
                <w:lang w:bidi="ar"/>
              </w:rPr>
            </w:pPr>
            <w:r>
              <w:rPr>
                <w:lang w:bidi="ar"/>
              </w:rPr>
              <w:t>10.72%</w:t>
            </w:r>
          </w:p>
        </w:tc>
      </w:tr>
      <w:tr w14:paraId="5A5B7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475" w:type="dxa"/>
            <w:gridSpan w:val="2"/>
            <w:vAlign w:val="center"/>
          </w:tcPr>
          <w:p w14:paraId="70F154C8">
            <w:pPr>
              <w:widowControl/>
              <w:spacing w:line="240" w:lineRule="atLeast"/>
              <w:ind w:firstLine="0" w:firstLineChars="0"/>
              <w:jc w:val="center"/>
              <w:rPr>
                <w:lang w:bidi="ar"/>
              </w:rPr>
            </w:pPr>
            <w:r>
              <w:rPr>
                <w:rFonts w:hint="eastAsia"/>
                <w:lang w:bidi="ar"/>
              </w:rPr>
              <w:t>总计</w:t>
            </w:r>
          </w:p>
        </w:tc>
        <w:tc>
          <w:tcPr>
            <w:tcW w:w="2220" w:type="dxa"/>
            <w:vAlign w:val="center"/>
          </w:tcPr>
          <w:p w14:paraId="754E77FD">
            <w:pPr>
              <w:widowControl/>
              <w:spacing w:line="240" w:lineRule="atLeast"/>
              <w:ind w:firstLine="0" w:firstLineChars="0"/>
              <w:jc w:val="center"/>
              <w:rPr>
                <w:lang w:bidi="ar"/>
              </w:rPr>
            </w:pPr>
            <w:r>
              <w:rPr>
                <w:lang w:bidi="ar"/>
              </w:rPr>
              <w:t>2061</w:t>
            </w:r>
          </w:p>
        </w:tc>
        <w:tc>
          <w:tcPr>
            <w:tcW w:w="2023" w:type="dxa"/>
            <w:vAlign w:val="center"/>
          </w:tcPr>
          <w:p w14:paraId="5E5E1514">
            <w:pPr>
              <w:widowControl/>
              <w:spacing w:line="240" w:lineRule="atLeast"/>
              <w:ind w:firstLine="0" w:firstLineChars="0"/>
              <w:jc w:val="center"/>
              <w:rPr>
                <w:lang w:bidi="ar"/>
              </w:rPr>
            </w:pPr>
            <w:r>
              <w:rPr>
                <w:lang w:bidi="ar"/>
              </w:rPr>
              <w:t>100</w:t>
            </w:r>
          </w:p>
        </w:tc>
      </w:tr>
    </w:tbl>
    <w:p w14:paraId="75A09D3E">
      <w:pPr>
        <w:widowControl/>
        <w:spacing w:line="240" w:lineRule="atLeast"/>
        <w:ind w:firstLine="480"/>
        <w:jc w:val="center"/>
      </w:pPr>
    </w:p>
    <w:p w14:paraId="2DBD523B">
      <w:pPr>
        <w:widowControl/>
        <w:spacing w:line="240" w:lineRule="atLeast"/>
        <w:ind w:firstLine="480"/>
        <w:jc w:val="center"/>
        <w:rPr>
          <w:b/>
          <w:bCs/>
          <w:lang w:bidi="ar"/>
        </w:rPr>
      </w:pPr>
      <w:r>
        <w:drawing>
          <wp:inline distT="0" distB="0" distL="114300" distR="114300">
            <wp:extent cx="3842385" cy="2184400"/>
            <wp:effectExtent l="0" t="0" r="5715" b="6350"/>
            <wp:docPr id="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3085AE7">
      <w:pPr>
        <w:widowControl/>
        <w:spacing w:line="240" w:lineRule="atLeast"/>
        <w:ind w:firstLine="482"/>
        <w:jc w:val="center"/>
        <w:rPr>
          <w:b/>
          <w:bCs/>
          <w:lang w:bidi="ar"/>
        </w:rPr>
      </w:pPr>
      <w:r>
        <w:rPr>
          <w:b/>
          <w:bCs/>
          <w:lang w:bidi="ar"/>
        </w:rPr>
        <w:t>图3.1-3江西省表面涂装企业的规模大小分布图</w:t>
      </w:r>
    </w:p>
    <w:p w14:paraId="029435F9">
      <w:pPr>
        <w:pStyle w:val="4"/>
        <w:keepNext w:val="0"/>
        <w:keepLines w:val="0"/>
        <w:widowControl/>
        <w:spacing w:before="0" w:after="0"/>
        <w:jc w:val="left"/>
      </w:pPr>
      <w:bookmarkStart w:id="131" w:name="_Toc452"/>
      <w:bookmarkStart w:id="132" w:name="_Toc12612"/>
      <w:bookmarkStart w:id="133" w:name="_Toc3368"/>
      <w:bookmarkStart w:id="134" w:name="_Toc22631"/>
      <w:r>
        <w:t>3.1.3企业涂料使用类型及VOCs排放情况</w:t>
      </w:r>
      <w:bookmarkEnd w:id="131"/>
      <w:bookmarkEnd w:id="132"/>
      <w:bookmarkEnd w:id="133"/>
      <w:bookmarkEnd w:id="134"/>
    </w:p>
    <w:p w14:paraId="0AE75412">
      <w:pPr>
        <w:pStyle w:val="5"/>
        <w:rPr>
          <w:rFonts w:ascii="Times New Roman" w:hAnsi="Times New Roman"/>
          <w:kern w:val="0"/>
          <w:szCs w:val="32"/>
        </w:rPr>
      </w:pPr>
      <w:r>
        <w:rPr>
          <w:rFonts w:ascii="Times New Roman" w:hAnsi="Times New Roman"/>
          <w:kern w:val="0"/>
          <w:szCs w:val="32"/>
        </w:rPr>
        <w:t>3.1.3.1涂料使用情况</w:t>
      </w:r>
    </w:p>
    <w:p w14:paraId="6790FC5F">
      <w:pPr>
        <w:widowControl/>
        <w:ind w:firstLine="480" w:firstLineChars="0"/>
        <w:jc w:val="left"/>
      </w:pPr>
      <w:r>
        <w:t>根据202</w:t>
      </w:r>
      <w:r>
        <w:rPr>
          <w:rFonts w:hint="eastAsia"/>
        </w:rPr>
        <w:t>3</w:t>
      </w:r>
      <w:r>
        <w:t>年环统数据，我省涉表面涂装行业重点企业涂料使用量为28704t/a，其中，家具行业和汽车制造业涂料使用量占比较大，分别为33.4%和14.85%。根据调研发现，家具制造业涂料使用类别集中在喷涂过程中的面漆、底漆，以及辅助工序使用的稀释剂、固化剂；汽车制造业涂料主要使用在喷涂过程需要的底漆、面漆。</w:t>
      </w:r>
    </w:p>
    <w:p w14:paraId="402EC46F">
      <w:pPr>
        <w:widowControl/>
        <w:spacing w:line="240" w:lineRule="atLeast"/>
        <w:ind w:firstLine="482"/>
        <w:jc w:val="center"/>
        <w:rPr>
          <w:b/>
          <w:bCs/>
          <w:lang w:bidi="ar"/>
        </w:rPr>
      </w:pPr>
      <w:r>
        <w:rPr>
          <w:b/>
          <w:bCs/>
          <w:lang w:bidi="ar"/>
        </w:rPr>
        <w:t>表3.1-4  我省涉表面涂装行业涂料使用量统计表</w:t>
      </w:r>
    </w:p>
    <w:tbl>
      <w:tblPr>
        <w:tblStyle w:val="21"/>
        <w:tblW w:w="7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780"/>
        <w:gridCol w:w="2256"/>
      </w:tblGrid>
      <w:tr w14:paraId="27C72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823" w:type="dxa"/>
            <w:vAlign w:val="center"/>
          </w:tcPr>
          <w:p w14:paraId="5D32B183">
            <w:pPr>
              <w:widowControl/>
              <w:spacing w:line="240" w:lineRule="atLeast"/>
              <w:ind w:firstLine="0" w:firstLineChars="0"/>
              <w:jc w:val="center"/>
              <w:rPr>
                <w:b/>
                <w:bCs/>
                <w:lang w:bidi="ar"/>
              </w:rPr>
            </w:pPr>
            <w:r>
              <w:rPr>
                <w:b/>
                <w:bCs/>
                <w:lang w:bidi="ar"/>
              </w:rPr>
              <w:t>序号</w:t>
            </w:r>
          </w:p>
        </w:tc>
        <w:tc>
          <w:tcPr>
            <w:tcW w:w="4780" w:type="dxa"/>
            <w:vAlign w:val="center"/>
          </w:tcPr>
          <w:p w14:paraId="7CD0CA99">
            <w:pPr>
              <w:widowControl/>
              <w:spacing w:line="240" w:lineRule="atLeast"/>
              <w:ind w:firstLine="0" w:firstLineChars="0"/>
              <w:jc w:val="center"/>
              <w:rPr>
                <w:b/>
                <w:bCs/>
                <w:lang w:bidi="ar"/>
              </w:rPr>
            </w:pPr>
            <w:r>
              <w:rPr>
                <w:b/>
                <w:bCs/>
                <w:lang w:bidi="ar"/>
              </w:rPr>
              <w:t>国民经济行业类别</w:t>
            </w:r>
          </w:p>
        </w:tc>
        <w:tc>
          <w:tcPr>
            <w:tcW w:w="2256" w:type="dxa"/>
            <w:vAlign w:val="center"/>
          </w:tcPr>
          <w:p w14:paraId="70F951E1">
            <w:pPr>
              <w:widowControl/>
              <w:spacing w:line="240" w:lineRule="atLeast"/>
              <w:ind w:firstLine="0" w:firstLineChars="0"/>
              <w:jc w:val="center"/>
              <w:rPr>
                <w:b/>
                <w:bCs/>
                <w:lang w:bidi="ar"/>
              </w:rPr>
            </w:pPr>
            <w:r>
              <w:rPr>
                <w:b/>
                <w:bCs/>
                <w:lang w:bidi="ar"/>
              </w:rPr>
              <w:t>涂料使用量(t/a)</w:t>
            </w:r>
          </w:p>
        </w:tc>
      </w:tr>
      <w:tr w14:paraId="437CE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823" w:type="dxa"/>
            <w:vAlign w:val="center"/>
          </w:tcPr>
          <w:p w14:paraId="1D290B94">
            <w:pPr>
              <w:widowControl/>
              <w:spacing w:line="240" w:lineRule="atLeast"/>
              <w:ind w:firstLine="0" w:firstLineChars="0"/>
              <w:jc w:val="center"/>
              <w:rPr>
                <w:lang w:bidi="ar"/>
              </w:rPr>
            </w:pPr>
            <w:r>
              <w:rPr>
                <w:lang w:bidi="ar"/>
              </w:rPr>
              <w:t>1</w:t>
            </w:r>
          </w:p>
        </w:tc>
        <w:tc>
          <w:tcPr>
            <w:tcW w:w="4780" w:type="dxa"/>
            <w:vAlign w:val="center"/>
          </w:tcPr>
          <w:p w14:paraId="4AADE1F7">
            <w:pPr>
              <w:widowControl/>
              <w:spacing w:line="240" w:lineRule="atLeast"/>
              <w:ind w:firstLine="0" w:firstLineChars="0"/>
              <w:jc w:val="center"/>
              <w:rPr>
                <w:lang w:bidi="ar"/>
              </w:rPr>
            </w:pPr>
            <w:r>
              <w:rPr>
                <w:rFonts w:hint="eastAsia"/>
                <w:lang w:bidi="ar"/>
              </w:rPr>
              <w:t>家具制造业（</w:t>
            </w:r>
            <w:r>
              <w:rPr>
                <w:lang w:bidi="ar"/>
              </w:rPr>
              <w:t>C21</w:t>
            </w:r>
            <w:r>
              <w:rPr>
                <w:rFonts w:hint="eastAsia"/>
                <w:lang w:bidi="ar"/>
              </w:rPr>
              <w:t>）</w:t>
            </w:r>
          </w:p>
        </w:tc>
        <w:tc>
          <w:tcPr>
            <w:tcW w:w="2256" w:type="dxa"/>
            <w:vAlign w:val="center"/>
          </w:tcPr>
          <w:p w14:paraId="0BC29939">
            <w:pPr>
              <w:widowControl/>
              <w:spacing w:line="240" w:lineRule="atLeast"/>
              <w:ind w:firstLine="0" w:firstLineChars="0"/>
              <w:jc w:val="center"/>
              <w:rPr>
                <w:lang w:bidi="ar"/>
              </w:rPr>
            </w:pPr>
            <w:r>
              <w:rPr>
                <w:lang w:bidi="ar"/>
              </w:rPr>
              <w:t>9587</w:t>
            </w:r>
          </w:p>
        </w:tc>
      </w:tr>
      <w:tr w14:paraId="34139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823" w:type="dxa"/>
            <w:vAlign w:val="center"/>
          </w:tcPr>
          <w:p w14:paraId="29B8417A">
            <w:pPr>
              <w:widowControl/>
              <w:spacing w:line="240" w:lineRule="atLeast"/>
              <w:ind w:firstLine="0" w:firstLineChars="0"/>
              <w:jc w:val="center"/>
              <w:rPr>
                <w:lang w:bidi="ar"/>
              </w:rPr>
            </w:pPr>
            <w:r>
              <w:rPr>
                <w:lang w:bidi="ar"/>
              </w:rPr>
              <w:t>2</w:t>
            </w:r>
          </w:p>
        </w:tc>
        <w:tc>
          <w:tcPr>
            <w:tcW w:w="4780" w:type="dxa"/>
            <w:vAlign w:val="center"/>
          </w:tcPr>
          <w:p w14:paraId="1CB4ACCE">
            <w:pPr>
              <w:widowControl/>
              <w:spacing w:line="240" w:lineRule="atLeast"/>
              <w:ind w:firstLine="0" w:firstLineChars="0"/>
              <w:jc w:val="center"/>
              <w:rPr>
                <w:lang w:bidi="ar"/>
              </w:rPr>
            </w:pPr>
            <w:r>
              <w:rPr>
                <w:rFonts w:hint="eastAsia"/>
                <w:lang w:bidi="ar"/>
              </w:rPr>
              <w:t>金属制品业（</w:t>
            </w:r>
            <w:r>
              <w:rPr>
                <w:lang w:bidi="ar"/>
              </w:rPr>
              <w:t>C33</w:t>
            </w:r>
            <w:r>
              <w:rPr>
                <w:rFonts w:hint="eastAsia"/>
                <w:lang w:bidi="ar"/>
              </w:rPr>
              <w:t>）</w:t>
            </w:r>
          </w:p>
        </w:tc>
        <w:tc>
          <w:tcPr>
            <w:tcW w:w="2256" w:type="dxa"/>
            <w:vAlign w:val="center"/>
          </w:tcPr>
          <w:p w14:paraId="5A561940">
            <w:pPr>
              <w:widowControl/>
              <w:spacing w:line="240" w:lineRule="atLeast"/>
              <w:ind w:firstLine="0" w:firstLineChars="0"/>
              <w:jc w:val="center"/>
              <w:rPr>
                <w:lang w:bidi="ar"/>
              </w:rPr>
            </w:pPr>
            <w:r>
              <w:rPr>
                <w:lang w:bidi="ar"/>
              </w:rPr>
              <w:t>4263</w:t>
            </w:r>
          </w:p>
        </w:tc>
      </w:tr>
      <w:tr w14:paraId="0641D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823" w:type="dxa"/>
            <w:vAlign w:val="center"/>
          </w:tcPr>
          <w:p w14:paraId="6DCF3DB8">
            <w:pPr>
              <w:widowControl/>
              <w:spacing w:line="240" w:lineRule="atLeast"/>
              <w:ind w:firstLine="0" w:firstLineChars="0"/>
              <w:jc w:val="center"/>
              <w:rPr>
                <w:lang w:bidi="ar"/>
              </w:rPr>
            </w:pPr>
            <w:r>
              <w:rPr>
                <w:lang w:bidi="ar"/>
              </w:rPr>
              <w:t>3</w:t>
            </w:r>
          </w:p>
        </w:tc>
        <w:tc>
          <w:tcPr>
            <w:tcW w:w="4780" w:type="dxa"/>
            <w:vAlign w:val="center"/>
          </w:tcPr>
          <w:p w14:paraId="427FC0C4">
            <w:pPr>
              <w:widowControl/>
              <w:spacing w:line="240" w:lineRule="atLeast"/>
              <w:ind w:firstLine="0" w:firstLineChars="0"/>
              <w:jc w:val="center"/>
              <w:rPr>
                <w:lang w:bidi="ar"/>
              </w:rPr>
            </w:pPr>
            <w:r>
              <w:rPr>
                <w:rFonts w:hint="eastAsia"/>
                <w:lang w:bidi="ar"/>
              </w:rPr>
              <w:t>通用设备制造业</w:t>
            </w:r>
            <w:r>
              <w:rPr>
                <w:lang w:bidi="ar"/>
              </w:rPr>
              <w:t>(C34)</w:t>
            </w:r>
          </w:p>
        </w:tc>
        <w:tc>
          <w:tcPr>
            <w:tcW w:w="2256" w:type="dxa"/>
            <w:vAlign w:val="center"/>
          </w:tcPr>
          <w:p w14:paraId="3A130209">
            <w:pPr>
              <w:widowControl/>
              <w:spacing w:line="240" w:lineRule="atLeast"/>
              <w:ind w:firstLine="0" w:firstLineChars="0"/>
              <w:jc w:val="center"/>
              <w:rPr>
                <w:lang w:bidi="ar"/>
              </w:rPr>
            </w:pPr>
            <w:r>
              <w:rPr>
                <w:lang w:bidi="ar"/>
              </w:rPr>
              <w:t>1258</w:t>
            </w:r>
          </w:p>
        </w:tc>
      </w:tr>
      <w:tr w14:paraId="1039F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823" w:type="dxa"/>
            <w:vAlign w:val="center"/>
          </w:tcPr>
          <w:p w14:paraId="27CDD864">
            <w:pPr>
              <w:widowControl/>
              <w:spacing w:line="240" w:lineRule="atLeast"/>
              <w:ind w:firstLine="0" w:firstLineChars="0"/>
              <w:jc w:val="center"/>
              <w:rPr>
                <w:lang w:bidi="ar"/>
              </w:rPr>
            </w:pPr>
            <w:r>
              <w:rPr>
                <w:lang w:bidi="ar"/>
              </w:rPr>
              <w:t>4</w:t>
            </w:r>
          </w:p>
        </w:tc>
        <w:tc>
          <w:tcPr>
            <w:tcW w:w="4780" w:type="dxa"/>
            <w:vAlign w:val="center"/>
          </w:tcPr>
          <w:p w14:paraId="1EF34926">
            <w:pPr>
              <w:widowControl/>
              <w:spacing w:line="240" w:lineRule="atLeast"/>
              <w:ind w:firstLine="0" w:firstLineChars="0"/>
              <w:jc w:val="center"/>
              <w:rPr>
                <w:lang w:bidi="ar"/>
              </w:rPr>
            </w:pPr>
            <w:r>
              <w:rPr>
                <w:rFonts w:hint="eastAsia"/>
                <w:lang w:bidi="ar"/>
              </w:rPr>
              <w:t>专用设备制造业</w:t>
            </w:r>
            <w:r>
              <w:rPr>
                <w:lang w:bidi="ar"/>
              </w:rPr>
              <w:t>(C35)</w:t>
            </w:r>
          </w:p>
        </w:tc>
        <w:tc>
          <w:tcPr>
            <w:tcW w:w="2256" w:type="dxa"/>
            <w:vAlign w:val="center"/>
          </w:tcPr>
          <w:p w14:paraId="764A01F4">
            <w:pPr>
              <w:widowControl/>
              <w:spacing w:line="240" w:lineRule="atLeast"/>
              <w:ind w:firstLine="0" w:firstLineChars="0"/>
              <w:jc w:val="center"/>
              <w:rPr>
                <w:lang w:bidi="ar"/>
              </w:rPr>
            </w:pPr>
            <w:r>
              <w:rPr>
                <w:lang w:bidi="ar"/>
              </w:rPr>
              <w:t>1267</w:t>
            </w:r>
          </w:p>
        </w:tc>
      </w:tr>
      <w:tr w14:paraId="1199F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823" w:type="dxa"/>
            <w:vAlign w:val="center"/>
          </w:tcPr>
          <w:p w14:paraId="1A775D02">
            <w:pPr>
              <w:widowControl/>
              <w:spacing w:line="240" w:lineRule="atLeast"/>
              <w:ind w:firstLine="0" w:firstLineChars="0"/>
              <w:jc w:val="center"/>
              <w:rPr>
                <w:lang w:bidi="ar"/>
              </w:rPr>
            </w:pPr>
            <w:r>
              <w:rPr>
                <w:lang w:bidi="ar"/>
              </w:rPr>
              <w:t>5</w:t>
            </w:r>
          </w:p>
        </w:tc>
        <w:tc>
          <w:tcPr>
            <w:tcW w:w="4780" w:type="dxa"/>
            <w:vAlign w:val="center"/>
          </w:tcPr>
          <w:p w14:paraId="7037CED2">
            <w:pPr>
              <w:widowControl/>
              <w:spacing w:line="240" w:lineRule="atLeast"/>
              <w:ind w:firstLine="0" w:firstLineChars="0"/>
              <w:jc w:val="center"/>
              <w:rPr>
                <w:lang w:bidi="ar"/>
              </w:rPr>
            </w:pPr>
            <w:r>
              <w:rPr>
                <w:rFonts w:hint="eastAsia"/>
                <w:lang w:bidi="ar"/>
              </w:rPr>
              <w:t>汽车制造业</w:t>
            </w:r>
            <w:r>
              <w:rPr>
                <w:lang w:bidi="ar"/>
              </w:rPr>
              <w:t>(C36)</w:t>
            </w:r>
          </w:p>
        </w:tc>
        <w:tc>
          <w:tcPr>
            <w:tcW w:w="2256" w:type="dxa"/>
            <w:vAlign w:val="center"/>
          </w:tcPr>
          <w:p w14:paraId="280637DD">
            <w:pPr>
              <w:widowControl/>
              <w:spacing w:line="240" w:lineRule="atLeast"/>
              <w:ind w:firstLine="0" w:firstLineChars="0"/>
              <w:jc w:val="center"/>
              <w:rPr>
                <w:lang w:bidi="ar"/>
              </w:rPr>
            </w:pPr>
            <w:r>
              <w:rPr>
                <w:lang w:bidi="ar"/>
              </w:rPr>
              <w:t>10239</w:t>
            </w:r>
          </w:p>
        </w:tc>
      </w:tr>
      <w:tr w14:paraId="02791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823" w:type="dxa"/>
            <w:vAlign w:val="center"/>
          </w:tcPr>
          <w:p w14:paraId="59AF28B1">
            <w:pPr>
              <w:widowControl/>
              <w:spacing w:line="240" w:lineRule="atLeast"/>
              <w:ind w:firstLine="0" w:firstLineChars="0"/>
              <w:jc w:val="center"/>
              <w:rPr>
                <w:lang w:bidi="ar"/>
              </w:rPr>
            </w:pPr>
            <w:r>
              <w:rPr>
                <w:lang w:bidi="ar"/>
              </w:rPr>
              <w:t>6</w:t>
            </w:r>
          </w:p>
        </w:tc>
        <w:tc>
          <w:tcPr>
            <w:tcW w:w="4780" w:type="dxa"/>
            <w:vAlign w:val="center"/>
          </w:tcPr>
          <w:p w14:paraId="2FB900B8">
            <w:pPr>
              <w:widowControl/>
              <w:spacing w:line="240" w:lineRule="atLeast"/>
              <w:ind w:firstLine="0" w:firstLineChars="0"/>
              <w:jc w:val="center"/>
              <w:rPr>
                <w:lang w:bidi="ar"/>
              </w:rPr>
            </w:pPr>
            <w:r>
              <w:rPr>
                <w:rFonts w:hint="eastAsia"/>
                <w:lang w:bidi="ar"/>
              </w:rPr>
              <w:t>铁路、船舶、航空航天和其他运输设备制造业</w:t>
            </w:r>
            <w:r>
              <w:rPr>
                <w:lang w:bidi="ar"/>
              </w:rPr>
              <w:t>(C37)</w:t>
            </w:r>
          </w:p>
        </w:tc>
        <w:tc>
          <w:tcPr>
            <w:tcW w:w="2256" w:type="dxa"/>
            <w:vAlign w:val="center"/>
          </w:tcPr>
          <w:p w14:paraId="675D5454">
            <w:pPr>
              <w:widowControl/>
              <w:spacing w:line="240" w:lineRule="atLeast"/>
              <w:ind w:firstLine="0" w:firstLineChars="0"/>
              <w:jc w:val="center"/>
              <w:rPr>
                <w:lang w:bidi="ar"/>
              </w:rPr>
            </w:pPr>
            <w:r>
              <w:rPr>
                <w:lang w:bidi="ar"/>
              </w:rPr>
              <w:t>1039</w:t>
            </w:r>
          </w:p>
        </w:tc>
      </w:tr>
      <w:tr w14:paraId="123B9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823" w:type="dxa"/>
            <w:vAlign w:val="center"/>
          </w:tcPr>
          <w:p w14:paraId="7998A6CF">
            <w:pPr>
              <w:widowControl/>
              <w:spacing w:line="240" w:lineRule="atLeast"/>
              <w:ind w:firstLine="0" w:firstLineChars="0"/>
              <w:jc w:val="center"/>
              <w:rPr>
                <w:lang w:bidi="ar"/>
              </w:rPr>
            </w:pPr>
            <w:r>
              <w:rPr>
                <w:lang w:bidi="ar"/>
              </w:rPr>
              <w:t>7</w:t>
            </w:r>
          </w:p>
        </w:tc>
        <w:tc>
          <w:tcPr>
            <w:tcW w:w="4780" w:type="dxa"/>
            <w:vAlign w:val="center"/>
          </w:tcPr>
          <w:p w14:paraId="7044411E">
            <w:pPr>
              <w:widowControl/>
              <w:spacing w:line="240" w:lineRule="atLeast"/>
              <w:ind w:firstLine="0" w:firstLineChars="0"/>
              <w:jc w:val="center"/>
              <w:rPr>
                <w:lang w:bidi="ar"/>
              </w:rPr>
            </w:pPr>
            <w:r>
              <w:rPr>
                <w:rFonts w:hint="eastAsia"/>
                <w:lang w:bidi="ar"/>
              </w:rPr>
              <w:t>金属制品、机械和设备修理业（</w:t>
            </w:r>
            <w:r>
              <w:rPr>
                <w:lang w:bidi="ar"/>
              </w:rPr>
              <w:t>C43</w:t>
            </w:r>
            <w:r>
              <w:rPr>
                <w:rFonts w:hint="eastAsia"/>
                <w:lang w:bidi="ar"/>
              </w:rPr>
              <w:t>）</w:t>
            </w:r>
          </w:p>
        </w:tc>
        <w:tc>
          <w:tcPr>
            <w:tcW w:w="2256" w:type="dxa"/>
            <w:vAlign w:val="center"/>
          </w:tcPr>
          <w:p w14:paraId="05831EA7">
            <w:pPr>
              <w:widowControl/>
              <w:spacing w:line="240" w:lineRule="atLeast"/>
              <w:ind w:firstLine="0" w:firstLineChars="0"/>
              <w:jc w:val="center"/>
              <w:rPr>
                <w:lang w:bidi="ar"/>
              </w:rPr>
            </w:pPr>
            <w:r>
              <w:rPr>
                <w:lang w:bidi="ar"/>
              </w:rPr>
              <w:t>1051</w:t>
            </w:r>
          </w:p>
        </w:tc>
      </w:tr>
      <w:tr w14:paraId="4595A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5603" w:type="dxa"/>
            <w:gridSpan w:val="2"/>
            <w:vAlign w:val="center"/>
          </w:tcPr>
          <w:p w14:paraId="1447BF72">
            <w:pPr>
              <w:widowControl/>
              <w:spacing w:line="240" w:lineRule="atLeast"/>
              <w:ind w:firstLine="0" w:firstLineChars="0"/>
              <w:jc w:val="center"/>
            </w:pPr>
            <w:r>
              <w:rPr>
                <w:lang w:bidi="ar"/>
              </w:rPr>
              <w:t>总计</w:t>
            </w:r>
          </w:p>
        </w:tc>
        <w:tc>
          <w:tcPr>
            <w:tcW w:w="2256" w:type="dxa"/>
            <w:vAlign w:val="center"/>
          </w:tcPr>
          <w:p w14:paraId="1F8828E5">
            <w:pPr>
              <w:widowControl/>
              <w:spacing w:line="240" w:lineRule="atLeast"/>
              <w:ind w:firstLine="0" w:firstLineChars="0"/>
              <w:jc w:val="center"/>
              <w:rPr>
                <w:lang w:bidi="ar"/>
              </w:rPr>
            </w:pPr>
            <w:r>
              <w:rPr>
                <w:lang w:bidi="ar"/>
              </w:rPr>
              <w:t>28704</w:t>
            </w:r>
          </w:p>
        </w:tc>
      </w:tr>
    </w:tbl>
    <w:p w14:paraId="1841CB44">
      <w:pPr>
        <w:widowControl/>
        <w:ind w:firstLine="0" w:firstLineChars="0"/>
        <w:jc w:val="left"/>
      </w:pPr>
    </w:p>
    <w:p w14:paraId="6D873913">
      <w:pPr>
        <w:widowControl/>
        <w:ind w:firstLine="480" w:firstLineChars="0"/>
        <w:jc w:val="left"/>
      </w:pPr>
      <w:r>
        <w:drawing>
          <wp:inline distT="0" distB="0" distL="114300" distR="114300">
            <wp:extent cx="4585970" cy="2282190"/>
            <wp:effectExtent l="0" t="0" r="5080" b="3810"/>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7A592D2">
      <w:pPr>
        <w:widowControl/>
        <w:spacing w:line="240" w:lineRule="atLeast"/>
        <w:ind w:firstLine="482"/>
        <w:jc w:val="center"/>
        <w:rPr>
          <w:b/>
          <w:bCs/>
          <w:lang w:bidi="ar"/>
        </w:rPr>
      </w:pPr>
      <w:r>
        <w:rPr>
          <w:b/>
          <w:bCs/>
          <w:lang w:bidi="ar"/>
        </w:rPr>
        <w:t>图3.1-4江西省表面涂装企业的涂料使用情况分布图</w:t>
      </w:r>
    </w:p>
    <w:p w14:paraId="25FE8B7C">
      <w:pPr>
        <w:pStyle w:val="5"/>
        <w:rPr>
          <w:rFonts w:ascii="Times New Roman" w:hAnsi="Times New Roman"/>
          <w:kern w:val="0"/>
          <w:szCs w:val="32"/>
        </w:rPr>
      </w:pPr>
      <w:r>
        <w:rPr>
          <w:rFonts w:ascii="Times New Roman" w:hAnsi="Times New Roman"/>
          <w:kern w:val="0"/>
          <w:szCs w:val="32"/>
        </w:rPr>
        <w:t>3.1.3.2排放情况</w:t>
      </w:r>
    </w:p>
    <w:p w14:paraId="3139DE01">
      <w:pPr>
        <w:widowControl/>
        <w:ind w:firstLine="480" w:firstLineChars="0"/>
        <w:rPr>
          <w:lang w:bidi="ar"/>
        </w:rPr>
      </w:pPr>
      <w:r>
        <w:t>自2019年以来，江西省生态环境厅陆续发布《关于印发江西省重点行业挥发性有机物综合治理方案的通知（赣环大气〔2019〕</w:t>
      </w:r>
      <w:r>
        <w:rPr>
          <w:rFonts w:hint="eastAsia"/>
          <w:lang w:eastAsia="zh-CN"/>
        </w:rPr>
        <w:t>》《</w:t>
      </w:r>
      <w:r>
        <w:t>江西省生态环境厅关于印发2020年夏秋季挥发性有机物(VOCs)治理攻坚帮扶工作方案的通知（赣环大气〔2020〕6号）》20号）》</w:t>
      </w:r>
      <w:r>
        <w:rPr>
          <w:rFonts w:hint="eastAsia"/>
          <w:lang w:eastAsia="zh-CN"/>
        </w:rPr>
        <w:t>等</w:t>
      </w:r>
      <w:r>
        <w:t>文件，我省进入重点行业深度治理阶段，对重点行业、重点区域开展全面治理。随着VOCs治理</w:t>
      </w:r>
      <w:r>
        <w:rPr>
          <w:rFonts w:hint="eastAsia"/>
          <w:lang w:bidi="ar"/>
        </w:rPr>
        <w:t>文件发布后至今，我省表面表面涂装行业相关企业开展全方位的源头、过程控制以及末端治理改造。本次搜集到了</w:t>
      </w:r>
      <w:r>
        <w:rPr>
          <w:lang w:bidi="ar"/>
        </w:rPr>
        <w:t>202</w:t>
      </w:r>
      <w:r>
        <w:rPr>
          <w:rFonts w:hint="eastAsia"/>
          <w:lang w:bidi="ar"/>
        </w:rPr>
        <w:t>1年、</w:t>
      </w:r>
      <w:r>
        <w:rPr>
          <w:lang w:bidi="ar"/>
        </w:rPr>
        <w:t>202</w:t>
      </w:r>
      <w:r>
        <w:rPr>
          <w:rFonts w:hint="eastAsia"/>
          <w:lang w:bidi="ar"/>
        </w:rPr>
        <w:t>2年和</w:t>
      </w:r>
      <w:r>
        <w:rPr>
          <w:lang w:bidi="ar"/>
        </w:rPr>
        <w:t>202</w:t>
      </w:r>
      <w:r>
        <w:rPr>
          <w:rFonts w:hint="eastAsia"/>
          <w:lang w:bidi="ar"/>
        </w:rPr>
        <w:t>3年我省环境统计数据，数据统计结果见表</w:t>
      </w:r>
      <w:r>
        <w:rPr>
          <w:lang w:bidi="ar"/>
        </w:rPr>
        <w:t>3.2-1</w:t>
      </w:r>
      <w:r>
        <w:rPr>
          <w:rFonts w:hint="eastAsia"/>
          <w:lang w:bidi="ar"/>
        </w:rPr>
        <w:t>。</w:t>
      </w:r>
    </w:p>
    <w:p w14:paraId="14068A8F">
      <w:pPr>
        <w:widowControl/>
        <w:ind w:firstLine="480" w:firstLineChars="0"/>
        <w:rPr>
          <w:lang w:bidi="ar"/>
        </w:rPr>
      </w:pPr>
      <w:r>
        <w:rPr>
          <w:rFonts w:hint="eastAsia"/>
          <w:lang w:bidi="ar"/>
        </w:rPr>
        <w:t>由统计结果和图可以看出，与</w:t>
      </w:r>
      <w:r>
        <w:rPr>
          <w:lang w:bidi="ar"/>
        </w:rPr>
        <w:t>202</w:t>
      </w:r>
      <w:r>
        <w:rPr>
          <w:rFonts w:hint="eastAsia"/>
          <w:lang w:bidi="ar"/>
        </w:rPr>
        <w:t>1年和</w:t>
      </w:r>
      <w:r>
        <w:rPr>
          <w:lang w:bidi="ar"/>
        </w:rPr>
        <w:t>202</w:t>
      </w:r>
      <w:r>
        <w:rPr>
          <w:rFonts w:hint="eastAsia"/>
          <w:lang w:bidi="ar"/>
        </w:rPr>
        <w:t>2年相比，</w:t>
      </w:r>
      <w:r>
        <w:rPr>
          <w:lang w:bidi="ar"/>
        </w:rPr>
        <w:t>202</w:t>
      </w:r>
      <w:r>
        <w:rPr>
          <w:rFonts w:hint="eastAsia"/>
          <w:lang w:bidi="ar"/>
        </w:rPr>
        <w:t>3年表面涂装企业排放量除了</w:t>
      </w:r>
      <w:r>
        <w:rPr>
          <w:rFonts w:hint="eastAsia"/>
        </w:rPr>
        <w:t>金属制品</w:t>
      </w:r>
      <w:r>
        <w:rPr>
          <w:rFonts w:hint="eastAsia"/>
          <w:lang w:bidi="ar"/>
        </w:rPr>
        <w:t>均有所下降。由此可知，经过近年来我省挥发性有机物表面涂装相关企业治理改造，减排效果非常明显，大大减少了挥发性有机物排放量。</w:t>
      </w:r>
    </w:p>
    <w:p w14:paraId="59FE3A48">
      <w:pPr>
        <w:widowControl/>
        <w:tabs>
          <w:tab w:val="left" w:pos="1072"/>
          <w:tab w:val="center" w:pos="4671"/>
        </w:tabs>
        <w:spacing w:line="240" w:lineRule="atLeast"/>
        <w:ind w:firstLine="0" w:firstLineChars="0"/>
        <w:jc w:val="center"/>
        <w:rPr>
          <w:b/>
          <w:bCs/>
          <w:lang w:bidi="ar"/>
        </w:rPr>
      </w:pPr>
      <w:r>
        <w:rPr>
          <w:b/>
          <w:bCs/>
          <w:lang w:bidi="ar"/>
        </w:rPr>
        <w:t>表3.1-5  我省表面涂装行业重点调查单位VOCs排放情况一览表</w:t>
      </w:r>
    </w:p>
    <w:tbl>
      <w:tblPr>
        <w:tblStyle w:val="21"/>
        <w:tblW w:w="8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4"/>
        <w:gridCol w:w="1800"/>
        <w:gridCol w:w="1916"/>
        <w:gridCol w:w="1742"/>
      </w:tblGrid>
      <w:tr w14:paraId="679E8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blHeader/>
          <w:jc w:val="center"/>
        </w:trPr>
        <w:tc>
          <w:tcPr>
            <w:tcW w:w="2804" w:type="dxa"/>
            <w:vAlign w:val="center"/>
          </w:tcPr>
          <w:p w14:paraId="090ECE0D">
            <w:pPr>
              <w:widowControl/>
              <w:spacing w:line="240" w:lineRule="atLeast"/>
              <w:ind w:firstLine="0" w:firstLineChars="0"/>
              <w:jc w:val="center"/>
              <w:rPr>
                <w:b/>
                <w:bCs/>
                <w:lang w:bidi="ar"/>
              </w:rPr>
            </w:pPr>
            <w:r>
              <w:rPr>
                <w:rFonts w:hint="eastAsia"/>
                <w:b/>
                <w:bCs/>
                <w:lang w:bidi="ar"/>
              </w:rPr>
              <w:t>国民经济行业类别</w:t>
            </w:r>
          </w:p>
        </w:tc>
        <w:tc>
          <w:tcPr>
            <w:tcW w:w="1800" w:type="dxa"/>
            <w:vAlign w:val="center"/>
          </w:tcPr>
          <w:p w14:paraId="18037FCC">
            <w:pPr>
              <w:widowControl/>
              <w:spacing w:line="240" w:lineRule="atLeast"/>
              <w:ind w:firstLine="0" w:firstLineChars="0"/>
              <w:jc w:val="center"/>
              <w:rPr>
                <w:b/>
                <w:bCs/>
                <w:lang w:bidi="ar"/>
              </w:rPr>
            </w:pPr>
            <w:r>
              <w:rPr>
                <w:b/>
                <w:bCs/>
                <w:lang w:bidi="ar"/>
              </w:rPr>
              <w:t>202</w:t>
            </w:r>
            <w:r>
              <w:rPr>
                <w:rFonts w:hint="eastAsia"/>
                <w:b/>
                <w:bCs/>
                <w:lang w:bidi="ar"/>
              </w:rPr>
              <w:t>1年</w:t>
            </w:r>
            <w:r>
              <w:rPr>
                <w:b/>
                <w:bCs/>
                <w:lang w:bidi="ar"/>
              </w:rPr>
              <w:t>VOCs</w:t>
            </w:r>
            <w:r>
              <w:rPr>
                <w:rFonts w:hint="eastAsia"/>
                <w:b/>
                <w:bCs/>
                <w:lang w:bidi="ar"/>
              </w:rPr>
              <w:t>排放量</w:t>
            </w:r>
            <w:r>
              <w:rPr>
                <w:b/>
                <w:bCs/>
                <w:lang w:bidi="ar"/>
              </w:rPr>
              <w:t>(</w:t>
            </w:r>
            <w:r>
              <w:rPr>
                <w:rFonts w:hint="eastAsia"/>
                <w:b/>
                <w:bCs/>
                <w:lang w:bidi="ar"/>
              </w:rPr>
              <w:t>万</w:t>
            </w:r>
            <w:r>
              <w:rPr>
                <w:b/>
                <w:bCs/>
                <w:lang w:bidi="ar"/>
              </w:rPr>
              <w:t>t/a)</w:t>
            </w:r>
          </w:p>
        </w:tc>
        <w:tc>
          <w:tcPr>
            <w:tcW w:w="1916" w:type="dxa"/>
            <w:vAlign w:val="center"/>
          </w:tcPr>
          <w:p w14:paraId="594A7BFE">
            <w:pPr>
              <w:widowControl/>
              <w:spacing w:line="240" w:lineRule="atLeast"/>
              <w:ind w:firstLine="0" w:firstLineChars="0"/>
              <w:jc w:val="center"/>
              <w:rPr>
                <w:b/>
                <w:bCs/>
                <w:lang w:bidi="ar"/>
              </w:rPr>
            </w:pPr>
            <w:r>
              <w:rPr>
                <w:b/>
                <w:bCs/>
                <w:lang w:bidi="ar"/>
              </w:rPr>
              <w:t>202</w:t>
            </w:r>
            <w:r>
              <w:rPr>
                <w:rFonts w:hint="eastAsia"/>
                <w:b/>
                <w:bCs/>
                <w:lang w:bidi="ar"/>
              </w:rPr>
              <w:t>2年</w:t>
            </w:r>
            <w:r>
              <w:rPr>
                <w:b/>
                <w:bCs/>
                <w:lang w:bidi="ar"/>
              </w:rPr>
              <w:t>VOCs</w:t>
            </w:r>
            <w:r>
              <w:rPr>
                <w:rFonts w:hint="eastAsia"/>
                <w:b/>
                <w:bCs/>
                <w:lang w:bidi="ar"/>
              </w:rPr>
              <w:t>排放量</w:t>
            </w:r>
            <w:r>
              <w:rPr>
                <w:b/>
                <w:bCs/>
                <w:lang w:bidi="ar"/>
              </w:rPr>
              <w:t>(</w:t>
            </w:r>
            <w:r>
              <w:rPr>
                <w:rFonts w:hint="eastAsia"/>
                <w:b/>
                <w:bCs/>
                <w:lang w:bidi="ar"/>
              </w:rPr>
              <w:t>万</w:t>
            </w:r>
            <w:r>
              <w:rPr>
                <w:b/>
                <w:bCs/>
                <w:lang w:bidi="ar"/>
              </w:rPr>
              <w:t>t/a)</w:t>
            </w:r>
          </w:p>
        </w:tc>
        <w:tc>
          <w:tcPr>
            <w:tcW w:w="1742" w:type="dxa"/>
            <w:vAlign w:val="center"/>
          </w:tcPr>
          <w:p w14:paraId="198392AC">
            <w:pPr>
              <w:widowControl/>
              <w:spacing w:line="240" w:lineRule="atLeast"/>
              <w:ind w:firstLine="0" w:firstLineChars="0"/>
              <w:jc w:val="center"/>
              <w:rPr>
                <w:b/>
                <w:bCs/>
                <w:lang w:bidi="ar"/>
              </w:rPr>
            </w:pPr>
            <w:r>
              <w:rPr>
                <w:b/>
                <w:bCs/>
                <w:lang w:bidi="ar"/>
              </w:rPr>
              <w:t>202</w:t>
            </w:r>
            <w:r>
              <w:rPr>
                <w:rFonts w:hint="eastAsia"/>
                <w:b/>
                <w:bCs/>
                <w:lang w:bidi="ar"/>
              </w:rPr>
              <w:t>3年</w:t>
            </w:r>
            <w:r>
              <w:rPr>
                <w:b/>
                <w:bCs/>
                <w:lang w:bidi="ar"/>
              </w:rPr>
              <w:t>VOCs</w:t>
            </w:r>
            <w:r>
              <w:rPr>
                <w:rFonts w:hint="eastAsia"/>
                <w:b/>
                <w:bCs/>
                <w:lang w:bidi="ar"/>
              </w:rPr>
              <w:t>排放量</w:t>
            </w:r>
            <w:r>
              <w:rPr>
                <w:b/>
                <w:bCs/>
                <w:lang w:bidi="ar"/>
              </w:rPr>
              <w:t>(</w:t>
            </w:r>
            <w:r>
              <w:rPr>
                <w:rFonts w:hint="eastAsia"/>
                <w:b/>
                <w:bCs/>
                <w:lang w:bidi="ar"/>
              </w:rPr>
              <w:t>万</w:t>
            </w:r>
            <w:r>
              <w:rPr>
                <w:b/>
                <w:bCs/>
                <w:lang w:bidi="ar"/>
              </w:rPr>
              <w:t>t/a)</w:t>
            </w:r>
          </w:p>
        </w:tc>
      </w:tr>
      <w:tr w14:paraId="652CF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804" w:type="dxa"/>
            <w:vAlign w:val="center"/>
          </w:tcPr>
          <w:p w14:paraId="482D9B0C">
            <w:pPr>
              <w:widowControl/>
              <w:spacing w:line="240" w:lineRule="atLeast"/>
              <w:ind w:firstLine="0" w:firstLineChars="0"/>
              <w:jc w:val="center"/>
              <w:rPr>
                <w:lang w:bidi="ar"/>
              </w:rPr>
            </w:pPr>
            <w:r>
              <w:rPr>
                <w:rFonts w:hint="eastAsia"/>
              </w:rPr>
              <w:t>家具制造业（</w:t>
            </w:r>
            <w:r>
              <w:t>C21</w:t>
            </w:r>
            <w:r>
              <w:rPr>
                <w:rFonts w:hint="eastAsia"/>
              </w:rPr>
              <w:t>）</w:t>
            </w:r>
          </w:p>
        </w:tc>
        <w:tc>
          <w:tcPr>
            <w:tcW w:w="1800" w:type="dxa"/>
            <w:vAlign w:val="center"/>
          </w:tcPr>
          <w:p w14:paraId="18A1EFBB">
            <w:pPr>
              <w:widowControl/>
              <w:spacing w:line="240" w:lineRule="atLeast"/>
              <w:ind w:firstLine="0" w:firstLineChars="0"/>
              <w:jc w:val="center"/>
              <w:rPr>
                <w:lang w:bidi="ar"/>
              </w:rPr>
            </w:pPr>
            <w:r>
              <w:rPr>
                <w:lang w:bidi="ar"/>
              </w:rPr>
              <w:t xml:space="preserve">3.412 </w:t>
            </w:r>
          </w:p>
        </w:tc>
        <w:tc>
          <w:tcPr>
            <w:tcW w:w="1916" w:type="dxa"/>
            <w:vAlign w:val="center"/>
          </w:tcPr>
          <w:p w14:paraId="1776A0A5">
            <w:pPr>
              <w:widowControl/>
              <w:spacing w:line="240" w:lineRule="atLeast"/>
              <w:ind w:firstLine="0" w:firstLineChars="0"/>
              <w:jc w:val="center"/>
              <w:rPr>
                <w:lang w:bidi="ar"/>
              </w:rPr>
            </w:pPr>
            <w:r>
              <w:rPr>
                <w:lang w:bidi="ar"/>
              </w:rPr>
              <w:t xml:space="preserve">2.118 </w:t>
            </w:r>
          </w:p>
        </w:tc>
        <w:tc>
          <w:tcPr>
            <w:tcW w:w="1742" w:type="dxa"/>
            <w:vAlign w:val="center"/>
          </w:tcPr>
          <w:p w14:paraId="3CFD86E6">
            <w:pPr>
              <w:widowControl/>
              <w:spacing w:line="240" w:lineRule="atLeast"/>
              <w:ind w:firstLine="0" w:firstLineChars="0"/>
              <w:jc w:val="center"/>
              <w:rPr>
                <w:lang w:bidi="ar"/>
              </w:rPr>
            </w:pPr>
            <w:r>
              <w:rPr>
                <w:lang w:bidi="ar"/>
              </w:rPr>
              <w:t xml:space="preserve">1.824 </w:t>
            </w:r>
          </w:p>
        </w:tc>
      </w:tr>
      <w:tr w14:paraId="0C067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804" w:type="dxa"/>
            <w:vAlign w:val="center"/>
          </w:tcPr>
          <w:p w14:paraId="0A379867">
            <w:pPr>
              <w:widowControl/>
              <w:spacing w:line="240" w:lineRule="atLeast"/>
              <w:ind w:firstLine="0" w:firstLineChars="0"/>
              <w:jc w:val="center"/>
              <w:rPr>
                <w:lang w:bidi="ar"/>
              </w:rPr>
            </w:pPr>
            <w:r>
              <w:rPr>
                <w:rFonts w:hint="eastAsia"/>
              </w:rPr>
              <w:t>金属制品业（</w:t>
            </w:r>
            <w:r>
              <w:t>C33</w:t>
            </w:r>
            <w:r>
              <w:rPr>
                <w:rFonts w:hint="eastAsia"/>
              </w:rPr>
              <w:t>）</w:t>
            </w:r>
          </w:p>
        </w:tc>
        <w:tc>
          <w:tcPr>
            <w:tcW w:w="1800" w:type="dxa"/>
            <w:vAlign w:val="center"/>
          </w:tcPr>
          <w:p w14:paraId="11DE550D">
            <w:pPr>
              <w:widowControl/>
              <w:spacing w:line="240" w:lineRule="atLeast"/>
              <w:ind w:firstLine="0" w:firstLineChars="0"/>
              <w:jc w:val="center"/>
              <w:rPr>
                <w:lang w:bidi="ar"/>
              </w:rPr>
            </w:pPr>
            <w:r>
              <w:rPr>
                <w:lang w:bidi="ar"/>
              </w:rPr>
              <w:t xml:space="preserve">0.549 </w:t>
            </w:r>
          </w:p>
        </w:tc>
        <w:tc>
          <w:tcPr>
            <w:tcW w:w="1916" w:type="dxa"/>
            <w:vAlign w:val="center"/>
          </w:tcPr>
          <w:p w14:paraId="19719EF4">
            <w:pPr>
              <w:widowControl/>
              <w:spacing w:line="240" w:lineRule="atLeast"/>
              <w:ind w:firstLine="0" w:firstLineChars="0"/>
              <w:jc w:val="center"/>
              <w:rPr>
                <w:lang w:bidi="ar"/>
              </w:rPr>
            </w:pPr>
            <w:r>
              <w:rPr>
                <w:lang w:bidi="ar"/>
              </w:rPr>
              <w:t xml:space="preserve">0.374 </w:t>
            </w:r>
          </w:p>
        </w:tc>
        <w:tc>
          <w:tcPr>
            <w:tcW w:w="1742" w:type="dxa"/>
            <w:vAlign w:val="center"/>
          </w:tcPr>
          <w:p w14:paraId="36EBB834">
            <w:pPr>
              <w:widowControl/>
              <w:spacing w:line="240" w:lineRule="atLeast"/>
              <w:ind w:firstLine="0" w:firstLineChars="0"/>
              <w:jc w:val="center"/>
              <w:rPr>
                <w:lang w:bidi="ar"/>
              </w:rPr>
            </w:pPr>
            <w:r>
              <w:rPr>
                <w:lang w:bidi="ar"/>
              </w:rPr>
              <w:t xml:space="preserve">0.498 </w:t>
            </w:r>
          </w:p>
        </w:tc>
      </w:tr>
      <w:tr w14:paraId="2FE22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804" w:type="dxa"/>
            <w:vAlign w:val="center"/>
          </w:tcPr>
          <w:p w14:paraId="6F8D07DF">
            <w:pPr>
              <w:widowControl/>
              <w:spacing w:line="240" w:lineRule="atLeast"/>
              <w:ind w:firstLine="0" w:firstLineChars="0"/>
              <w:jc w:val="center"/>
              <w:rPr>
                <w:lang w:bidi="ar"/>
              </w:rPr>
            </w:pPr>
            <w:r>
              <w:rPr>
                <w:rFonts w:hint="eastAsia"/>
              </w:rPr>
              <w:t>通用设备制造业</w:t>
            </w:r>
            <w:r>
              <w:t>(C34)</w:t>
            </w:r>
          </w:p>
        </w:tc>
        <w:tc>
          <w:tcPr>
            <w:tcW w:w="1800" w:type="dxa"/>
            <w:vAlign w:val="center"/>
          </w:tcPr>
          <w:p w14:paraId="1073E44F">
            <w:pPr>
              <w:widowControl/>
              <w:spacing w:line="240" w:lineRule="atLeast"/>
              <w:ind w:firstLine="0" w:firstLineChars="0"/>
              <w:jc w:val="center"/>
              <w:rPr>
                <w:lang w:bidi="ar"/>
              </w:rPr>
            </w:pPr>
            <w:r>
              <w:rPr>
                <w:lang w:bidi="ar"/>
              </w:rPr>
              <w:t xml:space="preserve">0.155 </w:t>
            </w:r>
          </w:p>
        </w:tc>
        <w:tc>
          <w:tcPr>
            <w:tcW w:w="1916" w:type="dxa"/>
            <w:vAlign w:val="center"/>
          </w:tcPr>
          <w:p w14:paraId="490A6C90">
            <w:pPr>
              <w:widowControl/>
              <w:spacing w:line="240" w:lineRule="atLeast"/>
              <w:ind w:firstLine="0" w:firstLineChars="0"/>
              <w:jc w:val="center"/>
              <w:rPr>
                <w:lang w:bidi="ar"/>
              </w:rPr>
            </w:pPr>
            <w:r>
              <w:rPr>
                <w:lang w:bidi="ar"/>
              </w:rPr>
              <w:t xml:space="preserve">0.088 </w:t>
            </w:r>
          </w:p>
        </w:tc>
        <w:tc>
          <w:tcPr>
            <w:tcW w:w="1742" w:type="dxa"/>
            <w:vAlign w:val="center"/>
          </w:tcPr>
          <w:p w14:paraId="2FF39D31">
            <w:pPr>
              <w:widowControl/>
              <w:spacing w:line="240" w:lineRule="atLeast"/>
              <w:ind w:firstLine="0" w:firstLineChars="0"/>
              <w:jc w:val="center"/>
              <w:rPr>
                <w:lang w:bidi="ar"/>
              </w:rPr>
            </w:pPr>
            <w:r>
              <w:rPr>
                <w:lang w:bidi="ar"/>
              </w:rPr>
              <w:t xml:space="preserve">0.072 </w:t>
            </w:r>
          </w:p>
        </w:tc>
      </w:tr>
      <w:tr w14:paraId="22213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804" w:type="dxa"/>
            <w:vAlign w:val="center"/>
          </w:tcPr>
          <w:p w14:paraId="1147616A">
            <w:pPr>
              <w:widowControl/>
              <w:spacing w:line="240" w:lineRule="atLeast"/>
              <w:ind w:firstLine="0" w:firstLineChars="0"/>
              <w:jc w:val="center"/>
              <w:rPr>
                <w:lang w:bidi="ar"/>
              </w:rPr>
            </w:pPr>
            <w:r>
              <w:rPr>
                <w:rFonts w:hint="eastAsia"/>
              </w:rPr>
              <w:t>专用设备制造业</w:t>
            </w:r>
            <w:r>
              <w:t>(C35)</w:t>
            </w:r>
          </w:p>
        </w:tc>
        <w:tc>
          <w:tcPr>
            <w:tcW w:w="1800" w:type="dxa"/>
            <w:vAlign w:val="center"/>
          </w:tcPr>
          <w:p w14:paraId="7A70D348">
            <w:pPr>
              <w:widowControl/>
              <w:spacing w:line="240" w:lineRule="atLeast"/>
              <w:ind w:firstLine="0" w:firstLineChars="0"/>
              <w:jc w:val="center"/>
              <w:rPr>
                <w:lang w:bidi="ar"/>
              </w:rPr>
            </w:pPr>
            <w:r>
              <w:rPr>
                <w:lang w:bidi="ar"/>
              </w:rPr>
              <w:t xml:space="preserve">0.561 </w:t>
            </w:r>
          </w:p>
        </w:tc>
        <w:tc>
          <w:tcPr>
            <w:tcW w:w="1916" w:type="dxa"/>
            <w:vAlign w:val="center"/>
          </w:tcPr>
          <w:p w14:paraId="55665EB3">
            <w:pPr>
              <w:widowControl/>
              <w:spacing w:line="240" w:lineRule="atLeast"/>
              <w:ind w:firstLine="0" w:firstLineChars="0"/>
              <w:jc w:val="center"/>
              <w:rPr>
                <w:lang w:bidi="ar"/>
              </w:rPr>
            </w:pPr>
            <w:r>
              <w:rPr>
                <w:lang w:bidi="ar"/>
              </w:rPr>
              <w:t xml:space="preserve">0.549 </w:t>
            </w:r>
          </w:p>
        </w:tc>
        <w:tc>
          <w:tcPr>
            <w:tcW w:w="1742" w:type="dxa"/>
            <w:vAlign w:val="center"/>
          </w:tcPr>
          <w:p w14:paraId="534BE872">
            <w:pPr>
              <w:widowControl/>
              <w:spacing w:line="240" w:lineRule="atLeast"/>
              <w:ind w:firstLine="0" w:firstLineChars="0"/>
              <w:jc w:val="center"/>
              <w:rPr>
                <w:lang w:bidi="ar"/>
              </w:rPr>
            </w:pPr>
            <w:r>
              <w:rPr>
                <w:lang w:bidi="ar"/>
              </w:rPr>
              <w:t xml:space="preserve">0.338 </w:t>
            </w:r>
          </w:p>
        </w:tc>
      </w:tr>
      <w:tr w14:paraId="563D2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804" w:type="dxa"/>
            <w:vAlign w:val="center"/>
          </w:tcPr>
          <w:p w14:paraId="6FE423B0">
            <w:pPr>
              <w:widowControl/>
              <w:spacing w:line="240" w:lineRule="atLeast"/>
              <w:ind w:firstLine="0" w:firstLineChars="0"/>
              <w:jc w:val="center"/>
              <w:rPr>
                <w:lang w:bidi="ar"/>
              </w:rPr>
            </w:pPr>
            <w:r>
              <w:rPr>
                <w:rFonts w:hint="eastAsia"/>
              </w:rPr>
              <w:t>汽车制造业</w:t>
            </w:r>
            <w:r>
              <w:t>(C36)</w:t>
            </w:r>
          </w:p>
        </w:tc>
        <w:tc>
          <w:tcPr>
            <w:tcW w:w="1800" w:type="dxa"/>
            <w:vAlign w:val="center"/>
          </w:tcPr>
          <w:p w14:paraId="1E3A0456">
            <w:pPr>
              <w:widowControl/>
              <w:spacing w:line="240" w:lineRule="atLeast"/>
              <w:ind w:firstLine="0" w:firstLineChars="0"/>
              <w:jc w:val="center"/>
              <w:rPr>
                <w:lang w:bidi="ar"/>
              </w:rPr>
            </w:pPr>
            <w:r>
              <w:rPr>
                <w:lang w:bidi="ar"/>
              </w:rPr>
              <w:t xml:space="preserve">0.223 </w:t>
            </w:r>
          </w:p>
        </w:tc>
        <w:tc>
          <w:tcPr>
            <w:tcW w:w="1916" w:type="dxa"/>
            <w:vAlign w:val="center"/>
          </w:tcPr>
          <w:p w14:paraId="32C51236">
            <w:pPr>
              <w:widowControl/>
              <w:spacing w:line="240" w:lineRule="atLeast"/>
              <w:ind w:firstLine="0" w:firstLineChars="0"/>
              <w:jc w:val="center"/>
              <w:rPr>
                <w:lang w:bidi="ar"/>
              </w:rPr>
            </w:pPr>
            <w:r>
              <w:rPr>
                <w:lang w:bidi="ar"/>
              </w:rPr>
              <w:t xml:space="preserve">0.251 </w:t>
            </w:r>
          </w:p>
        </w:tc>
        <w:tc>
          <w:tcPr>
            <w:tcW w:w="1742" w:type="dxa"/>
            <w:vAlign w:val="center"/>
          </w:tcPr>
          <w:p w14:paraId="4D587995">
            <w:pPr>
              <w:widowControl/>
              <w:spacing w:line="240" w:lineRule="atLeast"/>
              <w:ind w:firstLine="0" w:firstLineChars="0"/>
              <w:jc w:val="center"/>
              <w:rPr>
                <w:lang w:bidi="ar"/>
              </w:rPr>
            </w:pPr>
            <w:r>
              <w:rPr>
                <w:lang w:bidi="ar"/>
              </w:rPr>
              <w:t xml:space="preserve">0.143 </w:t>
            </w:r>
          </w:p>
        </w:tc>
      </w:tr>
      <w:tr w14:paraId="78886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04" w:type="dxa"/>
            <w:vAlign w:val="center"/>
          </w:tcPr>
          <w:p w14:paraId="03DD8579">
            <w:pPr>
              <w:widowControl/>
              <w:spacing w:line="240" w:lineRule="atLeast"/>
              <w:ind w:firstLine="0" w:firstLineChars="0"/>
              <w:jc w:val="center"/>
              <w:rPr>
                <w:lang w:bidi="ar"/>
              </w:rPr>
            </w:pPr>
            <w:r>
              <w:rPr>
                <w:rFonts w:hint="eastAsia"/>
              </w:rPr>
              <w:t>铁路、船舶、航空航天和其他运输设备制造业</w:t>
            </w:r>
            <w:r>
              <w:t>(C37)</w:t>
            </w:r>
          </w:p>
        </w:tc>
        <w:tc>
          <w:tcPr>
            <w:tcW w:w="1800" w:type="dxa"/>
            <w:vAlign w:val="center"/>
          </w:tcPr>
          <w:p w14:paraId="645637D0">
            <w:pPr>
              <w:widowControl/>
              <w:spacing w:line="240" w:lineRule="atLeast"/>
              <w:ind w:firstLine="0" w:firstLineChars="0"/>
              <w:jc w:val="center"/>
              <w:rPr>
                <w:lang w:bidi="ar"/>
              </w:rPr>
            </w:pPr>
            <w:r>
              <w:rPr>
                <w:lang w:bidi="ar"/>
              </w:rPr>
              <w:t xml:space="preserve">0.064 </w:t>
            </w:r>
          </w:p>
        </w:tc>
        <w:tc>
          <w:tcPr>
            <w:tcW w:w="1916" w:type="dxa"/>
            <w:vAlign w:val="center"/>
          </w:tcPr>
          <w:p w14:paraId="5AA823FE">
            <w:pPr>
              <w:widowControl/>
              <w:spacing w:line="240" w:lineRule="atLeast"/>
              <w:ind w:firstLine="0" w:firstLineChars="0"/>
              <w:jc w:val="center"/>
              <w:rPr>
                <w:lang w:bidi="ar"/>
              </w:rPr>
            </w:pPr>
            <w:r>
              <w:rPr>
                <w:lang w:bidi="ar"/>
              </w:rPr>
              <w:t xml:space="preserve">0.050 </w:t>
            </w:r>
          </w:p>
        </w:tc>
        <w:tc>
          <w:tcPr>
            <w:tcW w:w="1742" w:type="dxa"/>
            <w:vAlign w:val="center"/>
          </w:tcPr>
          <w:p w14:paraId="7F79A3A8">
            <w:pPr>
              <w:widowControl/>
              <w:spacing w:line="240" w:lineRule="atLeast"/>
              <w:ind w:firstLine="0" w:firstLineChars="0"/>
              <w:jc w:val="center"/>
              <w:rPr>
                <w:lang w:bidi="ar"/>
              </w:rPr>
            </w:pPr>
            <w:r>
              <w:rPr>
                <w:lang w:bidi="ar"/>
              </w:rPr>
              <w:t xml:space="preserve">0.036 </w:t>
            </w:r>
          </w:p>
        </w:tc>
      </w:tr>
      <w:tr w14:paraId="1DBFE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804" w:type="dxa"/>
            <w:vAlign w:val="center"/>
          </w:tcPr>
          <w:p w14:paraId="234385EE">
            <w:pPr>
              <w:widowControl/>
              <w:spacing w:line="240" w:lineRule="atLeast"/>
              <w:ind w:firstLine="0" w:firstLineChars="0"/>
              <w:jc w:val="center"/>
              <w:rPr>
                <w:lang w:bidi="ar"/>
              </w:rPr>
            </w:pPr>
            <w:r>
              <w:rPr>
                <w:rFonts w:hint="eastAsia"/>
              </w:rPr>
              <w:t>金属制品、机械和设备修理业（</w:t>
            </w:r>
            <w:r>
              <w:t>C43</w:t>
            </w:r>
            <w:r>
              <w:rPr>
                <w:rFonts w:hint="eastAsia"/>
              </w:rPr>
              <w:t>）</w:t>
            </w:r>
          </w:p>
        </w:tc>
        <w:tc>
          <w:tcPr>
            <w:tcW w:w="1800" w:type="dxa"/>
            <w:vAlign w:val="center"/>
          </w:tcPr>
          <w:p w14:paraId="7075B022">
            <w:pPr>
              <w:widowControl/>
              <w:spacing w:line="240" w:lineRule="atLeast"/>
              <w:ind w:firstLine="0" w:firstLineChars="0"/>
              <w:jc w:val="center"/>
              <w:rPr>
                <w:lang w:bidi="ar"/>
              </w:rPr>
            </w:pPr>
            <w:r>
              <w:rPr>
                <w:lang w:bidi="ar"/>
              </w:rPr>
              <w:t xml:space="preserve">0.012 </w:t>
            </w:r>
          </w:p>
        </w:tc>
        <w:tc>
          <w:tcPr>
            <w:tcW w:w="1916" w:type="dxa"/>
            <w:vAlign w:val="center"/>
          </w:tcPr>
          <w:p w14:paraId="6DF2FCCA">
            <w:pPr>
              <w:widowControl/>
              <w:spacing w:line="240" w:lineRule="atLeast"/>
              <w:ind w:firstLine="0" w:firstLineChars="0"/>
              <w:jc w:val="center"/>
              <w:rPr>
                <w:lang w:bidi="ar"/>
              </w:rPr>
            </w:pPr>
            <w:r>
              <w:rPr>
                <w:lang w:bidi="ar"/>
              </w:rPr>
              <w:t xml:space="preserve">0.020 </w:t>
            </w:r>
          </w:p>
        </w:tc>
        <w:tc>
          <w:tcPr>
            <w:tcW w:w="1742" w:type="dxa"/>
            <w:vAlign w:val="center"/>
          </w:tcPr>
          <w:p w14:paraId="1DD8B5B7">
            <w:pPr>
              <w:widowControl/>
              <w:spacing w:line="240" w:lineRule="atLeast"/>
              <w:ind w:firstLine="0" w:firstLineChars="0"/>
              <w:jc w:val="center"/>
              <w:rPr>
                <w:lang w:bidi="ar"/>
              </w:rPr>
            </w:pPr>
            <w:r>
              <w:rPr>
                <w:lang w:bidi="ar"/>
              </w:rPr>
              <w:t xml:space="preserve">0.098 </w:t>
            </w:r>
          </w:p>
        </w:tc>
      </w:tr>
      <w:tr w14:paraId="19766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2804" w:type="dxa"/>
            <w:vAlign w:val="center"/>
          </w:tcPr>
          <w:p w14:paraId="6667DA30">
            <w:pPr>
              <w:widowControl/>
              <w:spacing w:line="240" w:lineRule="atLeast"/>
              <w:ind w:firstLine="0" w:firstLineChars="0"/>
              <w:jc w:val="center"/>
              <w:rPr>
                <w:b/>
                <w:bCs/>
                <w:lang w:bidi="ar"/>
              </w:rPr>
            </w:pPr>
            <w:r>
              <w:rPr>
                <w:rFonts w:hint="eastAsia"/>
              </w:rPr>
              <w:t>合计</w:t>
            </w:r>
          </w:p>
        </w:tc>
        <w:tc>
          <w:tcPr>
            <w:tcW w:w="1800" w:type="dxa"/>
            <w:vAlign w:val="center"/>
          </w:tcPr>
          <w:p w14:paraId="392A61FE">
            <w:pPr>
              <w:widowControl/>
              <w:spacing w:line="240" w:lineRule="atLeast"/>
              <w:ind w:firstLine="0" w:firstLineChars="0"/>
              <w:jc w:val="center"/>
              <w:rPr>
                <w:lang w:bidi="ar"/>
              </w:rPr>
            </w:pPr>
            <w:r>
              <w:rPr>
                <w:lang w:bidi="ar"/>
              </w:rPr>
              <w:t xml:space="preserve">4.977 </w:t>
            </w:r>
          </w:p>
        </w:tc>
        <w:tc>
          <w:tcPr>
            <w:tcW w:w="1916" w:type="dxa"/>
            <w:vAlign w:val="center"/>
          </w:tcPr>
          <w:p w14:paraId="29FE1F19">
            <w:pPr>
              <w:widowControl/>
              <w:spacing w:line="240" w:lineRule="atLeast"/>
              <w:ind w:firstLine="0" w:firstLineChars="0"/>
              <w:jc w:val="center"/>
              <w:rPr>
                <w:lang w:bidi="ar"/>
              </w:rPr>
            </w:pPr>
            <w:r>
              <w:rPr>
                <w:lang w:bidi="ar"/>
              </w:rPr>
              <w:t xml:space="preserve">3.452 </w:t>
            </w:r>
          </w:p>
        </w:tc>
        <w:tc>
          <w:tcPr>
            <w:tcW w:w="1742" w:type="dxa"/>
            <w:vAlign w:val="center"/>
          </w:tcPr>
          <w:p w14:paraId="14FBC30C">
            <w:pPr>
              <w:widowControl/>
              <w:spacing w:line="240" w:lineRule="atLeast"/>
              <w:ind w:firstLine="0" w:firstLineChars="0"/>
              <w:jc w:val="center"/>
              <w:rPr>
                <w:lang w:bidi="ar"/>
              </w:rPr>
            </w:pPr>
            <w:r>
              <w:rPr>
                <w:lang w:bidi="ar"/>
              </w:rPr>
              <w:t xml:space="preserve">3.010 </w:t>
            </w:r>
          </w:p>
        </w:tc>
      </w:tr>
    </w:tbl>
    <w:p w14:paraId="6EB42178">
      <w:pPr>
        <w:pStyle w:val="3"/>
        <w:spacing w:before="0" w:after="0"/>
        <w:rPr>
          <w:rFonts w:ascii="Times New Roman" w:hAnsi="Times New Roman"/>
        </w:rPr>
      </w:pPr>
      <w:bookmarkStart w:id="135" w:name="_Toc7115"/>
      <w:bookmarkStart w:id="136" w:name="_Toc3321"/>
      <w:bookmarkStart w:id="137" w:name="_Toc6"/>
      <w:bookmarkStart w:id="138" w:name="_Toc420"/>
      <w:bookmarkStart w:id="139" w:name="_Toc29415"/>
      <w:bookmarkStart w:id="140" w:name="_Toc2049"/>
      <w:bookmarkStart w:id="141" w:name="_Toc21636"/>
      <w:bookmarkStart w:id="142" w:name="_Toc2672"/>
      <w:bookmarkStart w:id="143" w:name="_Toc27204"/>
      <w:r>
        <w:rPr>
          <w:rFonts w:ascii="Times New Roman" w:hAnsi="Times New Roman"/>
        </w:rPr>
        <w:t>3.2表面涂装行业VOCs污染防治概况</w:t>
      </w:r>
      <w:bookmarkEnd w:id="135"/>
      <w:bookmarkEnd w:id="136"/>
      <w:bookmarkEnd w:id="137"/>
      <w:bookmarkEnd w:id="138"/>
      <w:bookmarkEnd w:id="139"/>
      <w:bookmarkEnd w:id="140"/>
      <w:bookmarkEnd w:id="141"/>
      <w:bookmarkEnd w:id="142"/>
      <w:bookmarkEnd w:id="143"/>
    </w:p>
    <w:p w14:paraId="0F74E3E5">
      <w:pPr>
        <w:pStyle w:val="4"/>
        <w:spacing w:before="0" w:after="0"/>
      </w:pPr>
      <w:bookmarkStart w:id="144" w:name="_Toc296"/>
      <w:bookmarkStart w:id="145" w:name="_Toc32528"/>
      <w:bookmarkStart w:id="146" w:name="_Toc16189"/>
      <w:bookmarkStart w:id="147" w:name="_Toc10155"/>
      <w:r>
        <w:t>3.2.1污染防治管理概况</w:t>
      </w:r>
      <w:bookmarkEnd w:id="144"/>
      <w:bookmarkEnd w:id="145"/>
      <w:bookmarkEnd w:id="146"/>
      <w:bookmarkEnd w:id="147"/>
    </w:p>
    <w:p w14:paraId="12577FDE">
      <w:pPr>
        <w:widowControl/>
        <w:ind w:firstLine="480" w:firstLineChars="0"/>
        <w:rPr>
          <w:lang w:bidi="ar"/>
        </w:rPr>
      </w:pPr>
      <w:r>
        <w:rPr>
          <w:lang w:bidi="ar"/>
        </w:rPr>
        <w:t>2019</w:t>
      </w:r>
      <w:r>
        <w:rPr>
          <w:rFonts w:hint="eastAsia"/>
          <w:lang w:bidi="ar"/>
        </w:rPr>
        <w:t>年</w:t>
      </w:r>
      <w:r>
        <w:rPr>
          <w:lang w:bidi="ar"/>
        </w:rPr>
        <w:t>6</w:t>
      </w:r>
      <w:r>
        <w:rPr>
          <w:rFonts w:hint="eastAsia"/>
          <w:lang w:bidi="ar"/>
        </w:rPr>
        <w:t>月生态环境部印发了《重点行业挥发性有机物综合治理方案》（环大气〔</w:t>
      </w:r>
      <w:r>
        <w:rPr>
          <w:lang w:bidi="ar"/>
        </w:rPr>
        <w:t>2019</w:t>
      </w:r>
      <w:r>
        <w:rPr>
          <w:rFonts w:hint="eastAsia"/>
          <w:lang w:bidi="ar"/>
        </w:rPr>
        <w:t>〕</w:t>
      </w:r>
      <w:r>
        <w:rPr>
          <w:lang w:bidi="ar"/>
        </w:rPr>
        <w:t>53</w:t>
      </w:r>
      <w:r>
        <w:rPr>
          <w:rFonts w:hint="eastAsia"/>
          <w:lang w:bidi="ar"/>
        </w:rPr>
        <w:t>号），方案要求建立健全</w:t>
      </w:r>
      <w:r>
        <w:rPr>
          <w:lang w:bidi="ar"/>
        </w:rPr>
        <w:t>VOCs</w:t>
      </w:r>
      <w:r>
        <w:rPr>
          <w:rFonts w:hint="eastAsia"/>
          <w:lang w:bidi="ar"/>
        </w:rPr>
        <w:t>污染防治管理体系，重点区域、重点行业</w:t>
      </w:r>
      <w:r>
        <w:rPr>
          <w:lang w:bidi="ar"/>
        </w:rPr>
        <w:t>VOCs</w:t>
      </w:r>
      <w:r>
        <w:rPr>
          <w:rFonts w:hint="eastAsia"/>
          <w:lang w:bidi="ar"/>
        </w:rPr>
        <w:t>治理取得明显成效，完成“十三五”规划确定的</w:t>
      </w:r>
      <w:r>
        <w:rPr>
          <w:lang w:bidi="ar"/>
        </w:rPr>
        <w:t>VOCs</w:t>
      </w:r>
      <w:r>
        <w:rPr>
          <w:rFonts w:hint="eastAsia"/>
          <w:lang w:bidi="ar"/>
        </w:rPr>
        <w:t>排放量下降</w:t>
      </w:r>
      <w:r>
        <w:rPr>
          <w:lang w:bidi="ar"/>
        </w:rPr>
        <w:t>10%</w:t>
      </w:r>
      <w:r>
        <w:rPr>
          <w:rFonts w:hint="eastAsia"/>
          <w:lang w:bidi="ar"/>
        </w:rPr>
        <w:t>的目标任务，协同控制温室气体排放，推动环境空气质量持续改善；</w:t>
      </w:r>
      <w:r>
        <w:rPr>
          <w:lang w:bidi="ar"/>
        </w:rPr>
        <w:t>2020</w:t>
      </w:r>
      <w:r>
        <w:rPr>
          <w:rFonts w:hint="eastAsia"/>
          <w:lang w:bidi="ar"/>
        </w:rPr>
        <w:t>年，生态环境部印发了《</w:t>
      </w:r>
      <w:r>
        <w:rPr>
          <w:lang w:bidi="ar"/>
        </w:rPr>
        <w:t>2020</w:t>
      </w:r>
      <w:r>
        <w:rPr>
          <w:rFonts w:hint="eastAsia"/>
          <w:lang w:bidi="ar"/>
        </w:rPr>
        <w:t>年挥发性有机物治理攻坚方案》，方案指出要高度重视，把挥发性有机物（</w:t>
      </w:r>
      <w:r>
        <w:rPr>
          <w:lang w:bidi="ar"/>
        </w:rPr>
        <w:t>VOCs</w:t>
      </w:r>
      <w:r>
        <w:rPr>
          <w:rFonts w:hint="eastAsia"/>
          <w:lang w:bidi="ar"/>
        </w:rPr>
        <w:t>）治理攻坚作为打赢蓝天保卫战收官的重要任务，统筹疫情防控、经济社会平稳健康发展，扎实做好“六稳”工作</w:t>
      </w:r>
      <w:r>
        <w:rPr>
          <w:lang w:bidi="ar"/>
        </w:rPr>
        <w:t>,</w:t>
      </w:r>
      <w:r>
        <w:rPr>
          <w:rFonts w:hint="eastAsia"/>
          <w:lang w:bidi="ar"/>
        </w:rPr>
        <w:t>落实“六保”任务，坚持精准治污、科学治污、依法治污，切实做到问题精准、时间精准、区位精准、对象精准、措施精准；</w:t>
      </w:r>
      <w:r>
        <w:rPr>
          <w:lang w:bidi="ar"/>
        </w:rPr>
        <w:t>2020</w:t>
      </w:r>
      <w:r>
        <w:rPr>
          <w:rFonts w:hint="eastAsia"/>
          <w:lang w:bidi="ar"/>
        </w:rPr>
        <w:t>年，生态环境部先后发布了《挥发性有机物（</w:t>
      </w:r>
      <w:r>
        <w:rPr>
          <w:lang w:bidi="ar"/>
        </w:rPr>
        <w:t>VOCs</w:t>
      </w:r>
      <w:r>
        <w:rPr>
          <w:rFonts w:hint="eastAsia"/>
          <w:lang w:bidi="ar"/>
        </w:rPr>
        <w:t>）污染防治技术政策》《重点行业企业挥发性有机物现场检查指南（试行）》《挥发性有机物治理实用手册》《石化行业挥发性有机物治理实用手册》等一系列文件和手册，对重点行业挥发性有机物的治理提供指导。</w:t>
      </w:r>
    </w:p>
    <w:p w14:paraId="41D1198D">
      <w:pPr>
        <w:widowControl/>
        <w:ind w:firstLine="480"/>
        <w:jc w:val="left"/>
        <w:rPr>
          <w:lang w:bidi="ar"/>
        </w:rPr>
      </w:pPr>
      <w:r>
        <w:rPr>
          <w:lang w:bidi="ar"/>
        </w:rPr>
        <w:t>2019</w:t>
      </w:r>
      <w:r>
        <w:rPr>
          <w:rFonts w:hint="eastAsia"/>
          <w:lang w:bidi="ar"/>
        </w:rPr>
        <w:t>年</w:t>
      </w:r>
      <w:r>
        <w:rPr>
          <w:lang w:bidi="ar"/>
        </w:rPr>
        <w:t>10</w:t>
      </w:r>
      <w:r>
        <w:rPr>
          <w:rFonts w:hint="eastAsia"/>
          <w:lang w:bidi="ar"/>
        </w:rPr>
        <w:t>月，江西省生态环境厅印发了《江西省重点行业挥发性有机物综合治理方案的通知（赣环大气〔</w:t>
      </w:r>
      <w:r>
        <w:rPr>
          <w:lang w:bidi="ar"/>
        </w:rPr>
        <w:t>2019</w:t>
      </w:r>
      <w:r>
        <w:rPr>
          <w:rFonts w:hint="eastAsia"/>
          <w:lang w:bidi="ar"/>
        </w:rPr>
        <w:t>〕</w:t>
      </w:r>
      <w:r>
        <w:rPr>
          <w:rFonts w:hint="eastAsia"/>
          <w:lang w:eastAsia="zh-CN" w:bidi="ar"/>
        </w:rPr>
        <w:t>）</w:t>
      </w:r>
      <w:r>
        <w:rPr>
          <w:rFonts w:hint="eastAsia"/>
          <w:lang w:bidi="ar"/>
        </w:rPr>
        <w:t>》指出到</w:t>
      </w:r>
      <w:r>
        <w:rPr>
          <w:lang w:bidi="ar"/>
        </w:rPr>
        <w:t>2020</w:t>
      </w:r>
      <w:r>
        <w:rPr>
          <w:rFonts w:hint="eastAsia"/>
          <w:lang w:bidi="ar"/>
        </w:rPr>
        <w:t>年底前，推动我省有机化工、表面涂装行业重点企业建设、改造、升级一批挥发性有机物（</w:t>
      </w:r>
      <w:r>
        <w:rPr>
          <w:lang w:bidi="ar"/>
        </w:rPr>
        <w:t>VOCs</w:t>
      </w:r>
      <w:r>
        <w:rPr>
          <w:rFonts w:hint="eastAsia"/>
          <w:lang w:bidi="ar"/>
        </w:rPr>
        <w:t>）废气收集和治理设施，大幅提高</w:t>
      </w:r>
      <w:r>
        <w:rPr>
          <w:lang w:bidi="ar"/>
        </w:rPr>
        <w:t>VOCs</w:t>
      </w:r>
      <w:r>
        <w:rPr>
          <w:rFonts w:hint="eastAsia"/>
          <w:lang w:bidi="ar"/>
        </w:rPr>
        <w:t>无组织排放收集率和废气处理效率，对重点污染源实施在线监控，对重点工业园区开展集中整治。初步建立符合我省实际的</w:t>
      </w:r>
      <w:r>
        <w:rPr>
          <w:lang w:bidi="ar"/>
        </w:rPr>
        <w:t>VOCs</w:t>
      </w:r>
      <w:r>
        <w:rPr>
          <w:rFonts w:hint="eastAsia"/>
          <w:lang w:bidi="ar"/>
        </w:rPr>
        <w:t>污染防治体系，协同控制温室气体排放，推动环境空气质量持续改善；</w:t>
      </w:r>
      <w:r>
        <w:rPr>
          <w:lang w:bidi="ar"/>
        </w:rPr>
        <w:t>2020</w:t>
      </w:r>
      <w:r>
        <w:rPr>
          <w:rFonts w:hint="eastAsia"/>
          <w:lang w:bidi="ar"/>
        </w:rPr>
        <w:t>年</w:t>
      </w:r>
      <w:r>
        <w:rPr>
          <w:lang w:bidi="ar"/>
        </w:rPr>
        <w:t>6</w:t>
      </w:r>
      <w:r>
        <w:rPr>
          <w:rFonts w:hint="eastAsia"/>
          <w:lang w:bidi="ar"/>
        </w:rPr>
        <w:t>月，</w:t>
      </w:r>
      <w:r>
        <w:t>江西省生态环境厅印发《2020年夏秋季挥发性有机物(VOCs)治理攻坚帮扶工作方案》（赣环大气〔2020〕6号）</w:t>
      </w:r>
      <w:r>
        <w:rPr>
          <w:rFonts w:hint="eastAsia"/>
          <w:lang w:bidi="ar"/>
        </w:rPr>
        <w:t>指出以有效削减各类</w:t>
      </w:r>
      <w:r>
        <w:rPr>
          <w:lang w:bidi="ar"/>
        </w:rPr>
        <w:t>VOCS</w:t>
      </w:r>
      <w:r>
        <w:rPr>
          <w:rFonts w:hint="eastAsia"/>
          <w:lang w:bidi="ar"/>
        </w:rPr>
        <w:t>排放为目标，聚焦重点行业、重点园区、重点企业集群以及非工业重点排放领域，集中力量采取强化帮扶指导、加强监测监控、提升监督执法效能等措施，通过攻坚帮扶行动，扎实落实国家和省</w:t>
      </w:r>
      <w:r>
        <w:rPr>
          <w:lang w:bidi="ar"/>
        </w:rPr>
        <w:t>VOCs</w:t>
      </w:r>
      <w:r>
        <w:rPr>
          <w:rFonts w:hint="eastAsia"/>
          <w:lang w:bidi="ar"/>
        </w:rPr>
        <w:t>综合治理方案</w:t>
      </w:r>
      <w:r>
        <w:rPr>
          <w:lang w:bidi="ar"/>
        </w:rPr>
        <w:t>,</w:t>
      </w:r>
      <w:r>
        <w:rPr>
          <w:rFonts w:hint="eastAsia"/>
          <w:lang w:bidi="ar"/>
        </w:rPr>
        <w:t>推动纳入治理范围的重点企业</w:t>
      </w:r>
      <w:r>
        <w:rPr>
          <w:lang w:bidi="ar"/>
        </w:rPr>
        <w:t>VOCs</w:t>
      </w:r>
      <w:r>
        <w:rPr>
          <w:rFonts w:hint="eastAsia"/>
          <w:lang w:bidi="ar"/>
        </w:rPr>
        <w:t>废气无组织排放收集率、治理设施同步运行率和去除率明显提高，</w:t>
      </w:r>
      <w:r>
        <w:rPr>
          <w:lang w:bidi="ar"/>
        </w:rPr>
        <w:t>VOCs</w:t>
      </w:r>
      <w:r>
        <w:rPr>
          <w:rFonts w:hint="eastAsia"/>
          <w:lang w:bidi="ar"/>
        </w:rPr>
        <w:t>超标排放现象明显减少，工业园区和企业集群</w:t>
      </w:r>
      <w:r>
        <w:rPr>
          <w:lang w:bidi="ar"/>
        </w:rPr>
        <w:t>VOCs</w:t>
      </w:r>
      <w:r>
        <w:rPr>
          <w:rFonts w:hint="eastAsia"/>
          <w:lang w:bidi="ar"/>
        </w:rPr>
        <w:t>治理和管理水平明显提升；</w:t>
      </w:r>
      <w:r>
        <w:rPr>
          <w:lang w:bidi="ar"/>
        </w:rPr>
        <w:t>2022</w:t>
      </w:r>
      <w:r>
        <w:rPr>
          <w:rFonts w:hint="eastAsia"/>
          <w:lang w:bidi="ar"/>
        </w:rPr>
        <w:t>年，江西省生态环境厅相继发布了</w:t>
      </w:r>
      <w:r>
        <w:t>《加强VOCs排放管控及时做好2022年臭氧污染应对工作》（赣环大气〔2022〕6号）、《江西省重点行业挥发性有机物控制技术手册</w:t>
      </w:r>
      <w:r>
        <w:rPr>
          <w:rFonts w:hint="eastAsia"/>
          <w:lang w:eastAsia="zh-CN"/>
        </w:rPr>
        <w:t>》《</w:t>
      </w:r>
      <w:r>
        <w:t>江西省重点行业挥发性有机物现场核查手册》等文件，均对表面涂装行业</w:t>
      </w:r>
      <w:r>
        <w:rPr>
          <w:lang w:bidi="ar"/>
        </w:rPr>
        <w:t>进行挥发性有机物防治技术作出参考作用。</w:t>
      </w:r>
    </w:p>
    <w:p w14:paraId="0DCE0F04">
      <w:pPr>
        <w:pStyle w:val="4"/>
        <w:spacing w:before="0" w:after="0"/>
      </w:pPr>
      <w:bookmarkStart w:id="148" w:name="_Toc4331"/>
      <w:bookmarkStart w:id="149" w:name="_Toc28152"/>
      <w:bookmarkStart w:id="150" w:name="_Toc23846"/>
      <w:bookmarkStart w:id="151" w:name="_Toc29825"/>
      <w:r>
        <w:t>3.2.2污染防治措施概况</w:t>
      </w:r>
      <w:bookmarkEnd w:id="148"/>
      <w:bookmarkEnd w:id="149"/>
      <w:bookmarkEnd w:id="150"/>
      <w:bookmarkEnd w:id="151"/>
    </w:p>
    <w:p w14:paraId="3522C94C">
      <w:pPr>
        <w:pStyle w:val="5"/>
        <w:keepNext w:val="0"/>
        <w:keepLines w:val="0"/>
        <w:widowControl/>
        <w:jc w:val="left"/>
        <w:rPr>
          <w:rFonts w:ascii="Times New Roman" w:hAnsi="Times New Roman"/>
          <w:kern w:val="0"/>
          <w:szCs w:val="32"/>
          <w:lang w:bidi="ar"/>
        </w:rPr>
      </w:pPr>
      <w:r>
        <w:rPr>
          <w:rFonts w:ascii="Times New Roman" w:hAnsi="Times New Roman"/>
          <w:kern w:val="0"/>
          <w:szCs w:val="32"/>
          <w:lang w:bidi="ar"/>
        </w:rPr>
        <w:t>3.2.2.1治理技术应用现状</w:t>
      </w:r>
    </w:p>
    <w:p w14:paraId="12912EF8">
      <w:pPr>
        <w:widowControl/>
        <w:ind w:firstLine="480"/>
        <w:jc w:val="left"/>
        <w:rPr>
          <w:lang w:bidi="ar"/>
        </w:rPr>
      </w:pPr>
      <w:r>
        <w:rPr>
          <w:lang w:bidi="ar"/>
        </w:rPr>
        <w:t>通过2022-2023年企业调研数据以及江西省VOCs填报平台数据</w:t>
      </w:r>
      <w:r>
        <w:rPr>
          <w:rFonts w:hint="eastAsia"/>
          <w:lang w:bidi="ar"/>
        </w:rPr>
        <w:t>整理结果发现，</w:t>
      </w:r>
      <w:r>
        <w:rPr>
          <w:lang w:bidi="ar"/>
        </w:rPr>
        <w:t>我省</w:t>
      </w:r>
      <w:r>
        <w:rPr>
          <w:rFonts w:hint="eastAsia"/>
          <w:lang w:bidi="ar"/>
        </w:rPr>
        <w:t>涂装行业使用的</w:t>
      </w:r>
      <w:r>
        <w:rPr>
          <w:lang w:bidi="ar"/>
        </w:rPr>
        <w:t>VOCs末端治理技术有焚烧技术(包括直燃炉、ＲTO、TNV焚烧炉、二次催化燃烧等)、活性炭吸附技术、低温等离子技术、光催化技术、水/酸/碱吸收技术或者组合技术等。我省528家工业企业涂装企业VOCs治理情况统计见图3.2-1。</w:t>
      </w:r>
    </w:p>
    <w:p w14:paraId="66C3A912">
      <w:pPr>
        <w:widowControl/>
        <w:ind w:firstLine="480"/>
        <w:jc w:val="center"/>
        <w:rPr>
          <w:highlight w:val="yellow"/>
          <w:lang w:bidi="ar"/>
        </w:rPr>
      </w:pPr>
      <w:r>
        <w:drawing>
          <wp:inline distT="0" distB="0" distL="114300" distR="114300">
            <wp:extent cx="4411980" cy="2621915"/>
            <wp:effectExtent l="0" t="0" r="7620" b="6985"/>
            <wp:docPr id="1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B3A1497">
      <w:pPr>
        <w:widowControl/>
        <w:ind w:firstLine="482"/>
        <w:jc w:val="center"/>
        <w:rPr>
          <w:b/>
          <w:bCs/>
          <w:lang w:bidi="ar"/>
        </w:rPr>
      </w:pPr>
      <w:r>
        <w:rPr>
          <w:b/>
          <w:bCs/>
          <w:lang w:bidi="ar"/>
        </w:rPr>
        <w:t>图3.2-1  江西省表面涂装企业VOCs处理技术应用情况</w:t>
      </w:r>
    </w:p>
    <w:p w14:paraId="7E34EB20">
      <w:pPr>
        <w:widowControl/>
        <w:ind w:firstLine="480"/>
        <w:jc w:val="left"/>
        <w:rPr>
          <w:lang w:bidi="ar"/>
        </w:rPr>
      </w:pPr>
      <w:r>
        <w:rPr>
          <w:rFonts w:hint="eastAsia"/>
          <w:lang w:bidi="ar"/>
        </w:rPr>
        <w:t>根据统计数据发现</w:t>
      </w:r>
      <w:r>
        <w:rPr>
          <w:rFonts w:hint="eastAsia"/>
        </w:rPr>
        <w:t>，</w:t>
      </w:r>
      <w:r>
        <w:rPr>
          <w:rFonts w:hint="eastAsia"/>
          <w:lang w:bidi="ar"/>
        </w:rPr>
        <w:t>末端治理措施中</w:t>
      </w:r>
      <w:r>
        <w:rPr>
          <w:lang w:bidi="ar"/>
        </w:rPr>
        <w:t>其中活性炭使用率最高，占比76.3%，</w:t>
      </w:r>
      <w:r>
        <w:rPr>
          <w:rFonts w:hint="eastAsia"/>
          <w:lang w:bidi="ar"/>
        </w:rPr>
        <w:t>通过</w:t>
      </w:r>
      <w:r>
        <w:rPr>
          <w:lang w:bidi="ar"/>
        </w:rPr>
        <w:t>对其中典型家具行业所在地南康家具881家进行统计发现，大部分企业采用水帘+UV光解简单处理工艺</w:t>
      </w:r>
      <w:r>
        <w:rPr>
          <w:rFonts w:hint="eastAsia"/>
          <w:lang w:bidi="ar"/>
        </w:rPr>
        <w:t>；</w:t>
      </w:r>
      <w:r>
        <w:rPr>
          <w:lang w:bidi="ar"/>
        </w:rPr>
        <w:t>对典型汽车制造业进行调研发现，治理措施覆盖率较高，</w:t>
      </w:r>
      <w:r>
        <w:rPr>
          <w:rFonts w:hint="eastAsia"/>
          <w:lang w:bidi="ar"/>
        </w:rPr>
        <w:t>尤其是</w:t>
      </w:r>
      <w:r>
        <w:rPr>
          <w:lang w:bidi="ar"/>
        </w:rPr>
        <w:t>大型汽车制造企业，末端治理措施采用焚烧法企业较多。相对其它的制造业，普遍存在使用活性炭吸附法。</w:t>
      </w:r>
    </w:p>
    <w:p w14:paraId="4F2D17A5">
      <w:pPr>
        <w:pStyle w:val="5"/>
        <w:keepNext w:val="0"/>
        <w:keepLines w:val="0"/>
        <w:widowControl/>
        <w:jc w:val="left"/>
        <w:rPr>
          <w:rFonts w:ascii="Times New Roman" w:hAnsi="Times New Roman"/>
          <w:kern w:val="0"/>
          <w:szCs w:val="32"/>
          <w:lang w:bidi="ar"/>
        </w:rPr>
      </w:pPr>
      <w:r>
        <w:rPr>
          <w:rFonts w:ascii="Times New Roman" w:hAnsi="Times New Roman"/>
          <w:kern w:val="0"/>
          <w:szCs w:val="32"/>
          <w:lang w:bidi="ar"/>
        </w:rPr>
        <w:t>3.2.2.1</w:t>
      </w:r>
      <w:r>
        <w:rPr>
          <w:rFonts w:hint="eastAsia" w:ascii="Times New Roman" w:hAnsi="Times New Roman"/>
          <w:kern w:val="0"/>
          <w:szCs w:val="32"/>
          <w:lang w:bidi="ar"/>
        </w:rPr>
        <w:t>存在主要问题</w:t>
      </w:r>
    </w:p>
    <w:p w14:paraId="0FF0F9E0">
      <w:pPr>
        <w:widowControl/>
        <w:numPr>
          <w:ilvl w:val="0"/>
          <w:numId w:val="2"/>
        </w:numPr>
        <w:ind w:firstLine="480"/>
        <w:jc w:val="left"/>
        <w:rPr>
          <w:lang w:bidi="ar"/>
        </w:rPr>
      </w:pPr>
      <w:r>
        <w:rPr>
          <w:lang w:bidi="ar"/>
        </w:rPr>
        <w:t>生产工艺及装备落后，工业涂装准入门槛低。</w:t>
      </w:r>
    </w:p>
    <w:p w14:paraId="2AAEAD31">
      <w:pPr>
        <w:widowControl/>
        <w:numPr>
          <w:ilvl w:val="255"/>
          <w:numId w:val="0"/>
        </w:numPr>
        <w:ind w:firstLine="480"/>
        <w:jc w:val="left"/>
        <w:rPr>
          <w:lang w:bidi="ar"/>
        </w:rPr>
      </w:pPr>
      <w:r>
        <w:rPr>
          <w:lang w:bidi="ar"/>
        </w:rPr>
        <w:t>据环统数据调查统计显示，大部分为中小型企业，且有许多小微型涂装企业尚未纳入调查中。</w:t>
      </w:r>
    </w:p>
    <w:p w14:paraId="0A36E7BA">
      <w:pPr>
        <w:widowControl/>
        <w:numPr>
          <w:ilvl w:val="0"/>
          <w:numId w:val="2"/>
        </w:numPr>
        <w:ind w:firstLine="480"/>
        <w:jc w:val="left"/>
        <w:rPr>
          <w:lang w:bidi="ar"/>
        </w:rPr>
      </w:pPr>
      <w:r>
        <w:rPr>
          <w:lang w:bidi="ar"/>
        </w:rPr>
        <w:t>废气收集效率不高，</w:t>
      </w:r>
      <w:r>
        <w:rPr>
          <w:rFonts w:hint="eastAsia"/>
          <w:lang w:bidi="ar"/>
        </w:rPr>
        <w:t>存在</w:t>
      </w:r>
      <w:r>
        <w:rPr>
          <w:lang w:bidi="ar"/>
        </w:rPr>
        <w:t>无组织逸散</w:t>
      </w:r>
      <w:r>
        <w:rPr>
          <w:rFonts w:hint="eastAsia"/>
          <w:lang w:bidi="ar"/>
        </w:rPr>
        <w:t>现象</w:t>
      </w:r>
      <w:r>
        <w:rPr>
          <w:lang w:bidi="ar"/>
        </w:rPr>
        <w:t>。</w:t>
      </w:r>
    </w:p>
    <w:p w14:paraId="77648383">
      <w:pPr>
        <w:widowControl/>
        <w:numPr>
          <w:ilvl w:val="255"/>
          <w:numId w:val="0"/>
        </w:numPr>
        <w:ind w:firstLine="480"/>
        <w:jc w:val="left"/>
        <w:rPr>
          <w:lang w:bidi="ar"/>
        </w:rPr>
      </w:pPr>
      <w:r>
        <w:rPr>
          <w:lang w:bidi="ar"/>
        </w:rPr>
        <w:t>中小企业管理水平不高，无法对喷涂间、调漆件、烘干室等作出封闭要求，工业涂装企业存在无固定位调漆、半敞开式喷涂、室外晾干、室内敞开静干等现象，导致无法实现对VOCs的有效收集，企业清洁生产水平整体不高。</w:t>
      </w:r>
    </w:p>
    <w:p w14:paraId="66163A97">
      <w:pPr>
        <w:widowControl/>
        <w:numPr>
          <w:ilvl w:val="0"/>
          <w:numId w:val="2"/>
        </w:numPr>
        <w:ind w:firstLine="480"/>
        <w:jc w:val="left"/>
        <w:rPr>
          <w:lang w:bidi="ar"/>
        </w:rPr>
      </w:pPr>
      <w:r>
        <w:rPr>
          <w:lang w:bidi="ar"/>
        </w:rPr>
        <w:t>治理措施良莠不齐，治污效果不理想。</w:t>
      </w:r>
    </w:p>
    <w:p w14:paraId="7DD29263">
      <w:pPr>
        <w:widowControl/>
        <w:numPr>
          <w:ilvl w:val="255"/>
          <w:numId w:val="0"/>
        </w:numPr>
        <w:ind w:firstLine="480"/>
        <w:jc w:val="left"/>
        <w:rPr>
          <w:lang w:bidi="ar"/>
        </w:rPr>
      </w:pPr>
      <w:r>
        <w:rPr>
          <w:rFonts w:hint="eastAsia"/>
          <w:lang w:bidi="ar"/>
        </w:rPr>
        <w:t>根据调查企业</w:t>
      </w:r>
      <w:r>
        <w:rPr>
          <w:lang w:bidi="ar"/>
        </w:rPr>
        <w:t>治污设施建设质量良莠不齐，治污效果不理想。一些企业由于设计不规范、系统不匹配等原因，即使选择了高效治理技术，也未取得预期治污效果。</w:t>
      </w:r>
    </w:p>
    <w:p w14:paraId="1246D083">
      <w:pPr>
        <w:widowControl/>
        <w:ind w:firstLine="480"/>
        <w:jc w:val="left"/>
        <w:rPr>
          <w:lang w:bidi="ar"/>
        </w:rPr>
      </w:pPr>
      <w:r>
        <w:rPr>
          <w:lang w:bidi="ar"/>
        </w:rPr>
        <w:t>4、源头控制力度不够，企业低VOCs含量使用率较低。</w:t>
      </w:r>
    </w:p>
    <w:p w14:paraId="41B9DE79">
      <w:pPr>
        <w:widowControl/>
        <w:ind w:firstLine="480" w:firstLineChars="0"/>
        <w:jc w:val="left"/>
        <w:rPr>
          <w:lang w:bidi="ar"/>
        </w:rPr>
      </w:pPr>
      <w:r>
        <w:rPr>
          <w:lang w:bidi="ar"/>
        </w:rPr>
        <w:t>有机溶剂等含VOCs原辅材料的使用是VOCs重要排放来源，由于思想认识不到位、政策激励不足、投入成本高等原因，目前低VOCs含量原辅材料源头替代措施明显不足。据统计，我省工业涂料中水性、粉末等低VOCs含量涂料的使用比例不足20%。</w:t>
      </w:r>
    </w:p>
    <w:p w14:paraId="12989A3B">
      <w:pPr>
        <w:widowControl/>
        <w:ind w:firstLine="480"/>
        <w:jc w:val="left"/>
        <w:rPr>
          <w:lang w:bidi="ar"/>
        </w:rPr>
      </w:pPr>
      <w:r>
        <w:rPr>
          <w:lang w:bidi="ar"/>
        </w:rPr>
        <w:t>5、企业</w:t>
      </w:r>
      <w:r>
        <w:rPr>
          <w:rFonts w:hint="eastAsia"/>
          <w:lang w:bidi="ar"/>
        </w:rPr>
        <w:t>VOCs管理意识不强</w:t>
      </w:r>
    </w:p>
    <w:p w14:paraId="03618DD9">
      <w:pPr>
        <w:widowControl/>
        <w:ind w:firstLine="480"/>
        <w:jc w:val="left"/>
        <w:rPr>
          <w:lang w:bidi="ar"/>
        </w:rPr>
      </w:pPr>
      <w:r>
        <w:rPr>
          <w:lang w:bidi="ar"/>
        </w:rPr>
        <w:t>企业普遍</w:t>
      </w:r>
      <w:r>
        <w:rPr>
          <w:rFonts w:hint="eastAsia"/>
          <w:lang w:eastAsia="zh-CN" w:bidi="ar"/>
        </w:rPr>
        <w:t>存在</w:t>
      </w:r>
      <w:r>
        <w:rPr>
          <w:lang w:bidi="ar"/>
        </w:rPr>
        <w:t>管理制度不健全、操作规程未建立、人员技术能力不足等问题。调查中发现，吸附剂、吸收液等更换不及时，一些企业采用燃烧治理技术，但运行温度等达不到设计要求，治理设施</w:t>
      </w:r>
      <w:r>
        <w:rPr>
          <w:rFonts w:hint="eastAsia"/>
          <w:lang w:bidi="ar"/>
        </w:rPr>
        <w:t>的</w:t>
      </w:r>
      <w:r>
        <w:rPr>
          <w:lang w:bidi="ar"/>
        </w:rPr>
        <w:t>治理效果十分有限。</w:t>
      </w:r>
    </w:p>
    <w:p w14:paraId="508B6B17">
      <w:pPr>
        <w:widowControl/>
        <w:ind w:firstLine="480"/>
        <w:jc w:val="left"/>
        <w:rPr>
          <w:lang w:bidi="ar"/>
        </w:rPr>
      </w:pPr>
    </w:p>
    <w:p w14:paraId="0F98201C">
      <w:pPr>
        <w:widowControl/>
        <w:ind w:firstLine="480"/>
        <w:jc w:val="left"/>
        <w:rPr>
          <w:lang w:bidi="ar"/>
        </w:rPr>
      </w:pPr>
    </w:p>
    <w:p w14:paraId="5A1481FA">
      <w:pPr>
        <w:widowControl/>
        <w:ind w:firstLine="480"/>
        <w:jc w:val="left"/>
        <w:rPr>
          <w:lang w:bidi="ar"/>
        </w:rPr>
      </w:pPr>
    </w:p>
    <w:p w14:paraId="5FCB2950">
      <w:pPr>
        <w:widowControl/>
        <w:ind w:firstLine="480"/>
        <w:jc w:val="left"/>
        <w:rPr>
          <w:lang w:bidi="ar"/>
        </w:rPr>
      </w:pPr>
    </w:p>
    <w:p w14:paraId="0FFCC592">
      <w:pPr>
        <w:widowControl/>
        <w:ind w:firstLine="480"/>
        <w:jc w:val="left"/>
        <w:rPr>
          <w:lang w:bidi="ar"/>
        </w:rPr>
      </w:pPr>
    </w:p>
    <w:p w14:paraId="6F342DE7">
      <w:pPr>
        <w:widowControl/>
        <w:ind w:firstLine="480"/>
        <w:jc w:val="left"/>
        <w:rPr>
          <w:lang w:bidi="ar"/>
        </w:rPr>
      </w:pPr>
    </w:p>
    <w:p w14:paraId="3FD1FC24">
      <w:pPr>
        <w:widowControl/>
        <w:ind w:firstLine="480"/>
        <w:jc w:val="left"/>
        <w:rPr>
          <w:lang w:bidi="ar"/>
        </w:rPr>
      </w:pPr>
    </w:p>
    <w:p w14:paraId="75C2C96A">
      <w:pPr>
        <w:widowControl/>
        <w:ind w:firstLine="480"/>
        <w:jc w:val="left"/>
        <w:rPr>
          <w:lang w:bidi="ar"/>
        </w:rPr>
      </w:pPr>
    </w:p>
    <w:p w14:paraId="4CB5EDA1">
      <w:pPr>
        <w:widowControl/>
        <w:ind w:firstLine="480"/>
        <w:jc w:val="left"/>
        <w:rPr>
          <w:lang w:bidi="ar"/>
        </w:rPr>
      </w:pPr>
    </w:p>
    <w:p w14:paraId="7A6A18B8">
      <w:pPr>
        <w:widowControl/>
        <w:ind w:firstLine="480"/>
        <w:jc w:val="left"/>
        <w:rPr>
          <w:lang w:bidi="ar"/>
        </w:rPr>
      </w:pPr>
    </w:p>
    <w:p w14:paraId="534345E0">
      <w:pPr>
        <w:widowControl/>
        <w:ind w:firstLine="480"/>
        <w:jc w:val="left"/>
        <w:rPr>
          <w:lang w:bidi="ar"/>
        </w:rPr>
      </w:pPr>
    </w:p>
    <w:p w14:paraId="56DC861A">
      <w:pPr>
        <w:pStyle w:val="2"/>
        <w:spacing w:before="0" w:after="0"/>
        <w:jc w:val="center"/>
        <w:rPr>
          <w:szCs w:val="21"/>
        </w:rPr>
      </w:pPr>
      <w:bookmarkStart w:id="152" w:name="_Toc30322"/>
      <w:bookmarkStart w:id="153" w:name="_Toc22936"/>
      <w:bookmarkStart w:id="154" w:name="_Toc14363"/>
      <w:bookmarkStart w:id="155" w:name="_Toc19173"/>
      <w:bookmarkStart w:id="156" w:name="_Toc17135"/>
      <w:bookmarkStart w:id="157" w:name="_Toc7190"/>
      <w:bookmarkStart w:id="158" w:name="_Toc17876"/>
      <w:r>
        <w:rPr>
          <w:rFonts w:hint="eastAsia"/>
          <w:szCs w:val="21"/>
        </w:rPr>
        <w:t>4相关标准概况</w:t>
      </w:r>
      <w:bookmarkEnd w:id="152"/>
      <w:bookmarkEnd w:id="153"/>
      <w:bookmarkEnd w:id="154"/>
      <w:bookmarkEnd w:id="155"/>
      <w:bookmarkEnd w:id="156"/>
      <w:bookmarkEnd w:id="157"/>
      <w:bookmarkEnd w:id="158"/>
    </w:p>
    <w:p w14:paraId="65118A94">
      <w:pPr>
        <w:pStyle w:val="3"/>
        <w:spacing w:before="0" w:after="0"/>
        <w:rPr>
          <w:rFonts w:ascii="Times New Roman" w:hAnsi="Times New Roman"/>
        </w:rPr>
      </w:pPr>
      <w:bookmarkStart w:id="159" w:name="_Toc19086"/>
      <w:bookmarkStart w:id="160" w:name="_Toc22140"/>
      <w:bookmarkStart w:id="161" w:name="_Toc31566"/>
      <w:bookmarkStart w:id="162" w:name="_Toc1267"/>
      <w:bookmarkStart w:id="163" w:name="_Toc7010"/>
      <w:bookmarkStart w:id="164" w:name="_Toc12294"/>
      <w:bookmarkStart w:id="165" w:name="_Toc31893"/>
      <w:r>
        <w:rPr>
          <w:rFonts w:ascii="Times New Roman" w:hAnsi="Times New Roman"/>
        </w:rPr>
        <w:t>4.1</w:t>
      </w:r>
      <w:r>
        <w:rPr>
          <w:rFonts w:hint="eastAsia" w:ascii="Times New Roman" w:hAnsi="Times New Roman"/>
        </w:rPr>
        <w:t>国外相关技术标准</w:t>
      </w:r>
      <w:bookmarkEnd w:id="159"/>
      <w:bookmarkEnd w:id="160"/>
      <w:bookmarkEnd w:id="161"/>
      <w:bookmarkEnd w:id="162"/>
      <w:bookmarkEnd w:id="163"/>
      <w:bookmarkEnd w:id="164"/>
      <w:bookmarkEnd w:id="165"/>
    </w:p>
    <w:p w14:paraId="6CFE489F">
      <w:pPr>
        <w:keepNext/>
        <w:keepLines/>
        <w:widowControl/>
        <w:ind w:firstLine="480"/>
        <w:jc w:val="left"/>
        <w:rPr>
          <w:lang w:bidi="ar"/>
        </w:rPr>
      </w:pPr>
      <w:r>
        <w:rPr>
          <w:lang w:bidi="ar"/>
        </w:rPr>
        <w:t>20世纪90年初，美国等欧盟发达国家对工业涂装工序挥发性有机物污染排放控制和标准进行了大量的研究，积累了大量的经验。如美国的《大气清洁法》为适应各区的环境基准又规定了相应的基准值RACT（合理可行控制技术）、BAC（最佳可行控制技术）、LAER（最低可达排放速率），并对污染源（包括原有和新增源）排放VOCs提出了明确限制，同时针对涂装工序挥发性有机物涉及的各种不同行业制定了非常细致和有针对性的排放标准；199年，欧盟对包括石油冶炼、有机化学品、精细化工、储存、涂装、皮革加工等6大类33个行业制定了VOCs的排放标准，并且以各种指令的形式颁布，包括有溶剂使用指令、涂料指令、综合污染预防与控制指令等；2004年，日本通过修订《</w:t>
      </w:r>
      <w:r>
        <w:rPr>
          <w:rFonts w:hint="eastAsia"/>
          <w:lang w:eastAsia="zh-CN" w:bidi="ar"/>
        </w:rPr>
        <w:t>中华人民共和国大气污染防治法</w:t>
      </w:r>
      <w:r>
        <w:rPr>
          <w:lang w:bidi="ar"/>
        </w:rPr>
        <w:t>》将挥发性有机物也列为规制对象，2006年，发布实施《挥发性有机物排放控制制度》，制度中对VOCs排放规定中设定了不同排放设施各规模条件下的排放标准，除此之外还有世界银行、德国等地为了控制VOCs排放，也出台了相关的法规与标准。</w:t>
      </w:r>
    </w:p>
    <w:p w14:paraId="7234FB70">
      <w:pPr>
        <w:pStyle w:val="3"/>
        <w:spacing w:before="0" w:after="0"/>
        <w:rPr>
          <w:rFonts w:ascii="Times New Roman" w:hAnsi="Times New Roman"/>
        </w:rPr>
      </w:pPr>
      <w:bookmarkStart w:id="166" w:name="_Toc11725"/>
      <w:bookmarkStart w:id="167" w:name="_Toc24650"/>
      <w:bookmarkStart w:id="168" w:name="_Toc25716"/>
      <w:bookmarkStart w:id="169" w:name="_Toc9476"/>
      <w:bookmarkStart w:id="170" w:name="_Toc15428"/>
      <w:r>
        <w:rPr>
          <w:rFonts w:ascii="Times New Roman" w:hAnsi="Times New Roman"/>
        </w:rPr>
        <w:t>4.2</w:t>
      </w:r>
      <w:r>
        <w:rPr>
          <w:rFonts w:hint="eastAsia" w:ascii="Times New Roman" w:hAnsi="Times New Roman"/>
        </w:rPr>
        <w:t>国内相关</w:t>
      </w:r>
      <w:bookmarkEnd w:id="166"/>
      <w:bookmarkEnd w:id="167"/>
      <w:r>
        <w:rPr>
          <w:rFonts w:ascii="Times New Roman" w:hAnsi="Times New Roman"/>
        </w:rPr>
        <w:t>技术标准</w:t>
      </w:r>
      <w:bookmarkEnd w:id="168"/>
      <w:bookmarkEnd w:id="169"/>
      <w:bookmarkEnd w:id="170"/>
    </w:p>
    <w:p w14:paraId="759EE54E">
      <w:pPr>
        <w:ind w:firstLine="480"/>
        <w:rPr>
          <w:lang w:bidi="ar"/>
        </w:rPr>
      </w:pPr>
      <w:bookmarkStart w:id="171" w:name="_Toc28894"/>
      <w:bookmarkStart w:id="172" w:name="_Toc31868"/>
      <w:r>
        <w:rPr>
          <w:lang w:bidi="ar"/>
        </w:rPr>
        <w:t>1、</w:t>
      </w:r>
      <w:r>
        <w:rPr>
          <w:rFonts w:hint="eastAsia"/>
          <w:lang w:bidi="ar"/>
        </w:rPr>
        <w:t>国家层面</w:t>
      </w:r>
      <w:bookmarkEnd w:id="171"/>
      <w:bookmarkEnd w:id="172"/>
    </w:p>
    <w:p w14:paraId="6BCFD7A5">
      <w:pPr>
        <w:ind w:firstLine="480"/>
        <w:rPr>
          <w:lang w:bidi="ar"/>
        </w:rPr>
      </w:pPr>
      <w:r>
        <w:rPr>
          <w:lang w:bidi="ar"/>
        </w:rPr>
        <w:t>近年来，国家陆续出台了表面涂装行业的技术指南，对挥发性有机物污染防治作出相应的指导意见。具体见下表</w:t>
      </w:r>
      <w:r>
        <w:rPr>
          <w:rFonts w:hint="eastAsia"/>
          <w:lang w:bidi="ar"/>
        </w:rPr>
        <w:t>4.1-1。</w:t>
      </w:r>
    </w:p>
    <w:p w14:paraId="1F90CDF4">
      <w:pPr>
        <w:keepNext/>
        <w:keepLines/>
        <w:spacing w:line="240" w:lineRule="atLeast"/>
        <w:ind w:firstLine="482"/>
        <w:jc w:val="center"/>
        <w:rPr>
          <w:b/>
          <w:bCs/>
          <w:lang w:bidi="ar"/>
        </w:rPr>
      </w:pPr>
      <w:r>
        <w:rPr>
          <w:b/>
          <w:bCs/>
          <w:lang w:bidi="ar"/>
        </w:rPr>
        <w:t>4.1-1  国家层面表面涂装行业涉VOCs控制技术指南一览表</w:t>
      </w:r>
    </w:p>
    <w:tbl>
      <w:tblPr>
        <w:tblStyle w:val="20"/>
        <w:tblpPr w:leftFromText="180" w:rightFromText="180" w:vertAnchor="text" w:tblpXSpec="center" w:tblpY="1"/>
        <w:tblOverlap w:val="never"/>
        <w:tblW w:w="82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5705"/>
        <w:gridCol w:w="1835"/>
      </w:tblGrid>
      <w:tr w14:paraId="616FC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23" w:type="dxa"/>
            <w:vAlign w:val="center"/>
          </w:tcPr>
          <w:p w14:paraId="1139CA9B">
            <w:pPr>
              <w:widowControl/>
              <w:spacing w:line="240" w:lineRule="atLeast"/>
              <w:ind w:firstLine="0" w:firstLineChars="0"/>
              <w:jc w:val="center"/>
              <w:rPr>
                <w:b/>
                <w:bCs/>
                <w:kern w:val="0"/>
                <w:szCs w:val="24"/>
                <w:lang w:bidi="ar"/>
              </w:rPr>
            </w:pPr>
            <w:r>
              <w:rPr>
                <w:rFonts w:hint="eastAsia"/>
                <w:b/>
                <w:bCs/>
                <w:kern w:val="0"/>
                <w:szCs w:val="24"/>
                <w:lang w:bidi="ar"/>
              </w:rPr>
              <w:t>序号</w:t>
            </w:r>
          </w:p>
        </w:tc>
        <w:tc>
          <w:tcPr>
            <w:tcW w:w="5705" w:type="dxa"/>
            <w:vAlign w:val="center"/>
          </w:tcPr>
          <w:p w14:paraId="711E624A">
            <w:pPr>
              <w:widowControl/>
              <w:spacing w:line="240" w:lineRule="atLeast"/>
              <w:ind w:firstLine="0" w:firstLineChars="0"/>
              <w:jc w:val="center"/>
              <w:rPr>
                <w:b/>
                <w:bCs/>
                <w:kern w:val="0"/>
                <w:szCs w:val="24"/>
                <w:lang w:bidi="ar"/>
              </w:rPr>
            </w:pPr>
            <w:r>
              <w:rPr>
                <w:rFonts w:hint="eastAsia"/>
                <w:b/>
                <w:bCs/>
                <w:kern w:val="0"/>
                <w:szCs w:val="24"/>
                <w:lang w:bidi="ar"/>
              </w:rPr>
              <w:t>标准名称</w:t>
            </w:r>
          </w:p>
        </w:tc>
        <w:tc>
          <w:tcPr>
            <w:tcW w:w="1835" w:type="dxa"/>
            <w:vAlign w:val="center"/>
          </w:tcPr>
          <w:p w14:paraId="35ADA3C0">
            <w:pPr>
              <w:widowControl/>
              <w:spacing w:line="240" w:lineRule="atLeast"/>
              <w:ind w:firstLine="0" w:firstLineChars="0"/>
              <w:jc w:val="center"/>
              <w:rPr>
                <w:b/>
                <w:bCs/>
                <w:kern w:val="0"/>
                <w:szCs w:val="24"/>
                <w:lang w:bidi="ar"/>
              </w:rPr>
            </w:pPr>
            <w:r>
              <w:rPr>
                <w:rFonts w:hint="eastAsia"/>
                <w:b/>
                <w:bCs/>
                <w:kern w:val="0"/>
                <w:szCs w:val="24"/>
                <w:lang w:bidi="ar"/>
              </w:rPr>
              <w:t>编号</w:t>
            </w:r>
          </w:p>
        </w:tc>
      </w:tr>
      <w:tr w14:paraId="3FAF6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723" w:type="dxa"/>
            <w:vAlign w:val="center"/>
          </w:tcPr>
          <w:p w14:paraId="1769147C">
            <w:pPr>
              <w:widowControl/>
              <w:spacing w:line="240" w:lineRule="atLeast"/>
              <w:ind w:firstLine="0" w:firstLineChars="0"/>
              <w:jc w:val="center"/>
              <w:rPr>
                <w:kern w:val="0"/>
                <w:szCs w:val="24"/>
                <w:lang w:bidi="ar"/>
              </w:rPr>
            </w:pPr>
            <w:r>
              <w:rPr>
                <w:kern w:val="0"/>
                <w:szCs w:val="24"/>
                <w:lang w:bidi="ar"/>
              </w:rPr>
              <w:t>1</w:t>
            </w:r>
          </w:p>
        </w:tc>
        <w:tc>
          <w:tcPr>
            <w:tcW w:w="5705" w:type="dxa"/>
            <w:vAlign w:val="center"/>
          </w:tcPr>
          <w:p w14:paraId="354386D4">
            <w:pPr>
              <w:widowControl/>
              <w:spacing w:line="240" w:lineRule="atLeast"/>
              <w:ind w:firstLine="0" w:firstLineChars="0"/>
              <w:jc w:val="center"/>
              <w:rPr>
                <w:lang w:bidi="ar"/>
              </w:rPr>
            </w:pPr>
            <w:r>
              <w:rPr>
                <w:rFonts w:hint="eastAsia"/>
                <w:lang w:bidi="ar"/>
              </w:rPr>
              <w:t>《挥发性有机物（</w:t>
            </w:r>
            <w:r>
              <w:rPr>
                <w:lang w:bidi="ar"/>
              </w:rPr>
              <w:t>VOCs）污染防治技术政策》</w:t>
            </w:r>
          </w:p>
        </w:tc>
        <w:tc>
          <w:tcPr>
            <w:tcW w:w="1835" w:type="dxa"/>
            <w:vAlign w:val="center"/>
          </w:tcPr>
          <w:p w14:paraId="7A984C2D">
            <w:pPr>
              <w:widowControl/>
              <w:spacing w:line="240" w:lineRule="atLeast"/>
              <w:ind w:firstLine="0" w:firstLineChars="0"/>
              <w:jc w:val="center"/>
              <w:rPr>
                <w:kern w:val="0"/>
                <w:szCs w:val="24"/>
                <w:lang w:bidi="ar"/>
              </w:rPr>
            </w:pPr>
            <w:r>
              <w:rPr>
                <w:rFonts w:hint="eastAsia"/>
                <w:kern w:val="0"/>
                <w:szCs w:val="24"/>
                <w:lang w:bidi="ar"/>
              </w:rPr>
              <w:t>国家环保部公告</w:t>
            </w:r>
            <w:r>
              <w:rPr>
                <w:kern w:val="0"/>
                <w:szCs w:val="24"/>
                <w:lang w:bidi="ar"/>
              </w:rPr>
              <w:t>2013</w:t>
            </w:r>
            <w:r>
              <w:rPr>
                <w:rFonts w:hint="eastAsia"/>
                <w:kern w:val="0"/>
                <w:szCs w:val="24"/>
                <w:lang w:bidi="ar"/>
              </w:rPr>
              <w:t>年第</w:t>
            </w:r>
            <w:r>
              <w:rPr>
                <w:kern w:val="0"/>
                <w:szCs w:val="24"/>
                <w:lang w:bidi="ar"/>
              </w:rPr>
              <w:t>31</w:t>
            </w:r>
            <w:r>
              <w:rPr>
                <w:rFonts w:hint="eastAsia"/>
                <w:kern w:val="0"/>
                <w:szCs w:val="24"/>
                <w:lang w:bidi="ar"/>
              </w:rPr>
              <w:t>号</w:t>
            </w:r>
          </w:p>
        </w:tc>
      </w:tr>
      <w:tr w14:paraId="0459E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723" w:type="dxa"/>
            <w:vAlign w:val="center"/>
          </w:tcPr>
          <w:p w14:paraId="4611DAE2">
            <w:pPr>
              <w:widowControl/>
              <w:spacing w:line="240" w:lineRule="atLeast"/>
              <w:ind w:firstLine="0" w:firstLineChars="0"/>
              <w:jc w:val="center"/>
              <w:rPr>
                <w:kern w:val="0"/>
                <w:szCs w:val="24"/>
                <w:lang w:bidi="ar"/>
              </w:rPr>
            </w:pPr>
            <w:r>
              <w:rPr>
                <w:kern w:val="0"/>
                <w:szCs w:val="24"/>
                <w:lang w:bidi="ar"/>
              </w:rPr>
              <w:t>2</w:t>
            </w:r>
          </w:p>
        </w:tc>
        <w:tc>
          <w:tcPr>
            <w:tcW w:w="5705" w:type="dxa"/>
            <w:vAlign w:val="center"/>
          </w:tcPr>
          <w:p w14:paraId="3606E1ED">
            <w:pPr>
              <w:widowControl/>
              <w:spacing w:line="240" w:lineRule="atLeast"/>
              <w:ind w:firstLine="0" w:firstLineChars="0"/>
              <w:jc w:val="center"/>
              <w:rPr>
                <w:lang w:bidi="ar"/>
              </w:rPr>
            </w:pPr>
            <w:r>
              <w:rPr>
                <w:lang w:bidi="ar"/>
              </w:rPr>
              <w:t>关于发布2016年《国家先进污染防治技术目录（VOCs防治领域）》的公告</w:t>
            </w:r>
          </w:p>
        </w:tc>
        <w:tc>
          <w:tcPr>
            <w:tcW w:w="1835" w:type="dxa"/>
            <w:vAlign w:val="center"/>
          </w:tcPr>
          <w:p w14:paraId="41160210">
            <w:pPr>
              <w:widowControl/>
              <w:spacing w:line="240" w:lineRule="atLeast"/>
              <w:ind w:firstLine="0" w:firstLineChars="0"/>
              <w:jc w:val="center"/>
              <w:rPr>
                <w:kern w:val="0"/>
                <w:szCs w:val="24"/>
                <w:lang w:bidi="ar"/>
              </w:rPr>
            </w:pPr>
            <w:r>
              <w:rPr>
                <w:rFonts w:hint="eastAsia"/>
                <w:kern w:val="0"/>
                <w:szCs w:val="24"/>
                <w:lang w:bidi="ar"/>
              </w:rPr>
              <w:t>环境保护部公告</w:t>
            </w:r>
            <w:r>
              <w:rPr>
                <w:kern w:val="0"/>
                <w:szCs w:val="24"/>
                <w:lang w:bidi="ar"/>
              </w:rPr>
              <w:t>2016</w:t>
            </w:r>
            <w:r>
              <w:rPr>
                <w:rFonts w:hint="eastAsia"/>
                <w:kern w:val="0"/>
                <w:szCs w:val="24"/>
                <w:lang w:bidi="ar"/>
              </w:rPr>
              <w:t>年第</w:t>
            </w:r>
            <w:r>
              <w:rPr>
                <w:kern w:val="0"/>
                <w:szCs w:val="24"/>
                <w:lang w:bidi="ar"/>
              </w:rPr>
              <w:t>75</w:t>
            </w:r>
            <w:r>
              <w:rPr>
                <w:rFonts w:hint="eastAsia"/>
                <w:kern w:val="0"/>
                <w:szCs w:val="24"/>
                <w:lang w:bidi="ar"/>
              </w:rPr>
              <w:t>号</w:t>
            </w:r>
          </w:p>
        </w:tc>
      </w:tr>
      <w:tr w14:paraId="351C6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723" w:type="dxa"/>
            <w:vAlign w:val="center"/>
          </w:tcPr>
          <w:p w14:paraId="07D18F9D">
            <w:pPr>
              <w:widowControl/>
              <w:spacing w:line="240" w:lineRule="atLeast"/>
              <w:ind w:firstLine="0" w:firstLineChars="0"/>
              <w:jc w:val="center"/>
              <w:rPr>
                <w:kern w:val="0"/>
                <w:szCs w:val="24"/>
                <w:lang w:bidi="ar"/>
              </w:rPr>
            </w:pPr>
            <w:r>
              <w:rPr>
                <w:kern w:val="0"/>
                <w:szCs w:val="24"/>
                <w:lang w:bidi="ar"/>
              </w:rPr>
              <w:t>3</w:t>
            </w:r>
          </w:p>
        </w:tc>
        <w:tc>
          <w:tcPr>
            <w:tcW w:w="5705" w:type="dxa"/>
            <w:vAlign w:val="center"/>
          </w:tcPr>
          <w:p w14:paraId="0D7F3EF9">
            <w:pPr>
              <w:widowControl/>
              <w:spacing w:line="240" w:lineRule="atLeast"/>
              <w:ind w:firstLine="0" w:firstLineChars="0"/>
              <w:jc w:val="center"/>
              <w:rPr>
                <w:lang w:bidi="ar"/>
              </w:rPr>
            </w:pPr>
            <w:r>
              <w:rPr>
                <w:lang w:bidi="ar"/>
              </w:rPr>
              <w:t>《排污许可证申请与核发技术规范汽车制造业工业》</w:t>
            </w:r>
          </w:p>
        </w:tc>
        <w:tc>
          <w:tcPr>
            <w:tcW w:w="1835" w:type="dxa"/>
            <w:vAlign w:val="center"/>
          </w:tcPr>
          <w:p w14:paraId="659F8E20">
            <w:pPr>
              <w:widowControl/>
              <w:spacing w:line="240" w:lineRule="atLeast"/>
              <w:ind w:firstLine="0" w:firstLineChars="0"/>
              <w:jc w:val="center"/>
              <w:rPr>
                <w:kern w:val="0"/>
                <w:szCs w:val="24"/>
                <w:lang w:bidi="ar"/>
              </w:rPr>
            </w:pPr>
            <w:r>
              <w:rPr>
                <w:kern w:val="0"/>
                <w:szCs w:val="24"/>
                <w:lang w:bidi="ar"/>
              </w:rPr>
              <w:t>HJ971—2018</w:t>
            </w:r>
          </w:p>
        </w:tc>
      </w:tr>
      <w:tr w14:paraId="612AC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723" w:type="dxa"/>
            <w:vAlign w:val="center"/>
          </w:tcPr>
          <w:p w14:paraId="1CA57668">
            <w:pPr>
              <w:widowControl/>
              <w:spacing w:line="240" w:lineRule="atLeast"/>
              <w:ind w:firstLine="0" w:firstLineChars="0"/>
              <w:jc w:val="center"/>
              <w:rPr>
                <w:kern w:val="0"/>
                <w:szCs w:val="24"/>
                <w:lang w:bidi="ar"/>
              </w:rPr>
            </w:pPr>
            <w:r>
              <w:rPr>
                <w:kern w:val="0"/>
                <w:szCs w:val="24"/>
                <w:lang w:bidi="ar"/>
              </w:rPr>
              <w:t>4</w:t>
            </w:r>
          </w:p>
        </w:tc>
        <w:tc>
          <w:tcPr>
            <w:tcW w:w="5705" w:type="dxa"/>
            <w:vAlign w:val="center"/>
          </w:tcPr>
          <w:p w14:paraId="12BC30A0">
            <w:pPr>
              <w:widowControl/>
              <w:spacing w:line="240" w:lineRule="atLeast"/>
              <w:ind w:firstLine="0" w:firstLineChars="0"/>
              <w:jc w:val="center"/>
              <w:rPr>
                <w:lang w:bidi="ar"/>
              </w:rPr>
            </w:pPr>
            <w:r>
              <w:rPr>
                <w:lang w:bidi="ar"/>
              </w:rPr>
              <w:t>《排污许可证申请与核发技术规范家具制造业工业》</w:t>
            </w:r>
          </w:p>
        </w:tc>
        <w:tc>
          <w:tcPr>
            <w:tcW w:w="1835" w:type="dxa"/>
            <w:vAlign w:val="center"/>
          </w:tcPr>
          <w:p w14:paraId="58A2307B">
            <w:pPr>
              <w:widowControl/>
              <w:spacing w:line="240" w:lineRule="atLeast"/>
              <w:ind w:firstLine="0" w:firstLineChars="0"/>
              <w:jc w:val="center"/>
              <w:rPr>
                <w:kern w:val="0"/>
                <w:szCs w:val="24"/>
                <w:lang w:bidi="ar"/>
              </w:rPr>
            </w:pPr>
            <w:r>
              <w:rPr>
                <w:kern w:val="0"/>
                <w:szCs w:val="24"/>
                <w:lang w:bidi="ar"/>
              </w:rPr>
              <w:t>HJ1027—2019</w:t>
            </w:r>
          </w:p>
        </w:tc>
      </w:tr>
      <w:tr w14:paraId="76845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23" w:type="dxa"/>
            <w:vAlign w:val="center"/>
          </w:tcPr>
          <w:p w14:paraId="422EB93C">
            <w:pPr>
              <w:widowControl/>
              <w:spacing w:line="240" w:lineRule="atLeast"/>
              <w:ind w:firstLine="0" w:firstLineChars="0"/>
              <w:jc w:val="center"/>
              <w:rPr>
                <w:kern w:val="0"/>
                <w:szCs w:val="24"/>
                <w:lang w:bidi="ar"/>
              </w:rPr>
            </w:pPr>
            <w:r>
              <w:rPr>
                <w:kern w:val="0"/>
                <w:szCs w:val="24"/>
                <w:lang w:bidi="ar"/>
              </w:rPr>
              <w:t>5</w:t>
            </w:r>
          </w:p>
        </w:tc>
        <w:tc>
          <w:tcPr>
            <w:tcW w:w="5705" w:type="dxa"/>
            <w:vAlign w:val="center"/>
          </w:tcPr>
          <w:p w14:paraId="158512B5">
            <w:pPr>
              <w:widowControl/>
              <w:spacing w:line="240" w:lineRule="atLeast"/>
              <w:ind w:firstLine="0" w:firstLineChars="0"/>
              <w:jc w:val="center"/>
              <w:rPr>
                <w:lang w:bidi="ar"/>
              </w:rPr>
            </w:pPr>
            <w:r>
              <w:rPr>
                <w:lang w:bidi="ar"/>
              </w:rPr>
              <w:t>《排污许可证申请与核发技术规范金属铸造业工业》</w:t>
            </w:r>
          </w:p>
        </w:tc>
        <w:tc>
          <w:tcPr>
            <w:tcW w:w="1835" w:type="dxa"/>
            <w:vAlign w:val="center"/>
          </w:tcPr>
          <w:p w14:paraId="2D2B706A">
            <w:pPr>
              <w:widowControl/>
              <w:spacing w:line="240" w:lineRule="atLeast"/>
              <w:ind w:firstLine="0" w:firstLineChars="0"/>
              <w:jc w:val="center"/>
              <w:rPr>
                <w:kern w:val="0"/>
                <w:szCs w:val="24"/>
                <w:lang w:bidi="ar"/>
              </w:rPr>
            </w:pPr>
            <w:r>
              <w:rPr>
                <w:kern w:val="0"/>
                <w:szCs w:val="24"/>
                <w:lang w:bidi="ar"/>
              </w:rPr>
              <w:t>HJ1115—2020</w:t>
            </w:r>
          </w:p>
        </w:tc>
      </w:tr>
      <w:tr w14:paraId="349B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23" w:type="dxa"/>
            <w:vAlign w:val="center"/>
          </w:tcPr>
          <w:p w14:paraId="4D243335">
            <w:pPr>
              <w:widowControl/>
              <w:spacing w:line="240" w:lineRule="atLeast"/>
              <w:ind w:firstLine="0" w:firstLineChars="0"/>
              <w:jc w:val="center"/>
              <w:rPr>
                <w:kern w:val="0"/>
                <w:szCs w:val="24"/>
                <w:lang w:bidi="ar"/>
              </w:rPr>
            </w:pPr>
            <w:r>
              <w:rPr>
                <w:kern w:val="0"/>
                <w:szCs w:val="24"/>
                <w:lang w:bidi="ar"/>
              </w:rPr>
              <w:t>6</w:t>
            </w:r>
          </w:p>
        </w:tc>
        <w:tc>
          <w:tcPr>
            <w:tcW w:w="5705" w:type="dxa"/>
            <w:vAlign w:val="center"/>
          </w:tcPr>
          <w:p w14:paraId="00CD59BD">
            <w:pPr>
              <w:widowControl/>
              <w:spacing w:line="240" w:lineRule="atLeast"/>
              <w:ind w:firstLine="0" w:firstLineChars="0"/>
              <w:jc w:val="center"/>
              <w:rPr>
                <w:lang w:bidi="ar"/>
              </w:rPr>
            </w:pPr>
            <w:r>
              <w:rPr>
                <w:lang w:bidi="ar"/>
              </w:rPr>
              <w:t>《排污许可证申请与核发技术规范铁路、船舶、航空航天和其它运输设备制造业》</w:t>
            </w:r>
          </w:p>
        </w:tc>
        <w:tc>
          <w:tcPr>
            <w:tcW w:w="1835" w:type="dxa"/>
            <w:vAlign w:val="center"/>
          </w:tcPr>
          <w:p w14:paraId="60F86733">
            <w:pPr>
              <w:widowControl/>
              <w:spacing w:line="240" w:lineRule="atLeast"/>
              <w:ind w:firstLine="0" w:firstLineChars="0"/>
              <w:jc w:val="center"/>
              <w:rPr>
                <w:kern w:val="0"/>
                <w:szCs w:val="24"/>
                <w:lang w:bidi="ar"/>
              </w:rPr>
            </w:pPr>
            <w:r>
              <w:rPr>
                <w:kern w:val="0"/>
                <w:szCs w:val="24"/>
                <w:lang w:bidi="ar"/>
              </w:rPr>
              <w:t>HJ1124—2020</w:t>
            </w:r>
          </w:p>
        </w:tc>
      </w:tr>
      <w:tr w14:paraId="5BEC0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723" w:type="dxa"/>
            <w:vAlign w:val="center"/>
          </w:tcPr>
          <w:p w14:paraId="5C829637">
            <w:pPr>
              <w:widowControl/>
              <w:spacing w:line="240" w:lineRule="atLeast"/>
              <w:ind w:firstLine="0" w:firstLineChars="0"/>
              <w:jc w:val="center"/>
              <w:rPr>
                <w:kern w:val="0"/>
                <w:szCs w:val="24"/>
                <w:lang w:bidi="ar"/>
              </w:rPr>
            </w:pPr>
            <w:r>
              <w:rPr>
                <w:b/>
                <w:bCs/>
                <w:kern w:val="0"/>
                <w:szCs w:val="24"/>
                <w:lang w:bidi="ar"/>
              </w:rPr>
              <w:t>序号</w:t>
            </w:r>
          </w:p>
        </w:tc>
        <w:tc>
          <w:tcPr>
            <w:tcW w:w="5705" w:type="dxa"/>
            <w:vAlign w:val="center"/>
          </w:tcPr>
          <w:p w14:paraId="18C99825">
            <w:pPr>
              <w:widowControl/>
              <w:spacing w:line="240" w:lineRule="atLeast"/>
              <w:ind w:firstLine="0" w:firstLineChars="0"/>
              <w:jc w:val="center"/>
              <w:rPr>
                <w:lang w:bidi="ar"/>
              </w:rPr>
            </w:pPr>
            <w:r>
              <w:rPr>
                <w:b/>
                <w:bCs/>
                <w:kern w:val="0"/>
                <w:szCs w:val="24"/>
                <w:lang w:bidi="ar"/>
              </w:rPr>
              <w:t>标准名称</w:t>
            </w:r>
          </w:p>
        </w:tc>
        <w:tc>
          <w:tcPr>
            <w:tcW w:w="1835" w:type="dxa"/>
            <w:vAlign w:val="center"/>
          </w:tcPr>
          <w:p w14:paraId="08DE86F5">
            <w:pPr>
              <w:widowControl/>
              <w:spacing w:line="240" w:lineRule="atLeast"/>
              <w:ind w:firstLine="0" w:firstLineChars="0"/>
              <w:jc w:val="center"/>
              <w:rPr>
                <w:kern w:val="0"/>
                <w:szCs w:val="24"/>
                <w:lang w:bidi="ar"/>
              </w:rPr>
            </w:pPr>
            <w:r>
              <w:rPr>
                <w:b/>
                <w:bCs/>
                <w:kern w:val="0"/>
                <w:szCs w:val="24"/>
                <w:lang w:bidi="ar"/>
              </w:rPr>
              <w:t>编号</w:t>
            </w:r>
          </w:p>
        </w:tc>
      </w:tr>
      <w:tr w14:paraId="76DA8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723" w:type="dxa"/>
            <w:vAlign w:val="center"/>
          </w:tcPr>
          <w:p w14:paraId="097CEEFE">
            <w:pPr>
              <w:widowControl/>
              <w:spacing w:line="240" w:lineRule="atLeast"/>
              <w:ind w:firstLine="0" w:firstLineChars="0"/>
              <w:jc w:val="center"/>
              <w:rPr>
                <w:kern w:val="0"/>
                <w:szCs w:val="24"/>
                <w:lang w:bidi="ar"/>
              </w:rPr>
            </w:pPr>
            <w:r>
              <w:rPr>
                <w:kern w:val="0"/>
                <w:szCs w:val="24"/>
                <w:lang w:bidi="ar"/>
              </w:rPr>
              <w:t>7</w:t>
            </w:r>
          </w:p>
        </w:tc>
        <w:tc>
          <w:tcPr>
            <w:tcW w:w="5705" w:type="dxa"/>
            <w:vAlign w:val="center"/>
          </w:tcPr>
          <w:p w14:paraId="18E93196">
            <w:pPr>
              <w:widowControl/>
              <w:spacing w:line="240" w:lineRule="atLeast"/>
              <w:ind w:firstLine="0" w:firstLineChars="0"/>
              <w:jc w:val="center"/>
              <w:rPr>
                <w:lang w:bidi="ar"/>
              </w:rPr>
            </w:pPr>
            <w:r>
              <w:rPr>
                <w:lang w:bidi="ar"/>
              </w:rPr>
              <w:t>《挥发性有机物无组织排放控制标准》</w:t>
            </w:r>
          </w:p>
        </w:tc>
        <w:tc>
          <w:tcPr>
            <w:tcW w:w="1835" w:type="dxa"/>
            <w:vAlign w:val="center"/>
          </w:tcPr>
          <w:p w14:paraId="451FFA85">
            <w:pPr>
              <w:widowControl/>
              <w:spacing w:line="240" w:lineRule="atLeast"/>
              <w:ind w:firstLine="0" w:firstLineChars="0"/>
              <w:jc w:val="center"/>
              <w:rPr>
                <w:kern w:val="0"/>
                <w:szCs w:val="24"/>
                <w:lang w:bidi="ar"/>
              </w:rPr>
            </w:pPr>
            <w:r>
              <w:rPr>
                <w:kern w:val="0"/>
                <w:szCs w:val="24"/>
                <w:lang w:bidi="ar"/>
              </w:rPr>
              <w:t>GB 37822-2019</w:t>
            </w:r>
          </w:p>
        </w:tc>
      </w:tr>
      <w:tr w14:paraId="20B64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23" w:type="dxa"/>
            <w:vAlign w:val="center"/>
          </w:tcPr>
          <w:p w14:paraId="399B3640">
            <w:pPr>
              <w:widowControl/>
              <w:spacing w:line="240" w:lineRule="atLeast"/>
              <w:ind w:firstLine="0" w:firstLineChars="0"/>
              <w:jc w:val="center"/>
              <w:rPr>
                <w:kern w:val="0"/>
                <w:szCs w:val="24"/>
                <w:lang w:bidi="ar"/>
              </w:rPr>
            </w:pPr>
            <w:r>
              <w:rPr>
                <w:kern w:val="0"/>
                <w:szCs w:val="24"/>
                <w:lang w:bidi="ar"/>
              </w:rPr>
              <w:t>8</w:t>
            </w:r>
          </w:p>
        </w:tc>
        <w:tc>
          <w:tcPr>
            <w:tcW w:w="5705" w:type="dxa"/>
            <w:vAlign w:val="center"/>
          </w:tcPr>
          <w:p w14:paraId="127D014E">
            <w:pPr>
              <w:widowControl/>
              <w:spacing w:line="240" w:lineRule="atLeast"/>
              <w:ind w:firstLine="0" w:firstLineChars="0"/>
              <w:jc w:val="center"/>
              <w:rPr>
                <w:lang w:bidi="ar"/>
              </w:rPr>
            </w:pPr>
            <w:r>
              <w:rPr>
                <w:lang w:bidi="ar"/>
              </w:rPr>
              <w:t>挥发性有机物治理实用手册</w:t>
            </w:r>
          </w:p>
        </w:tc>
        <w:tc>
          <w:tcPr>
            <w:tcW w:w="1835" w:type="dxa"/>
            <w:vAlign w:val="center"/>
          </w:tcPr>
          <w:p w14:paraId="60A7CED2">
            <w:pPr>
              <w:widowControl/>
              <w:spacing w:line="240" w:lineRule="atLeast"/>
              <w:ind w:firstLine="0" w:firstLineChars="0"/>
              <w:jc w:val="center"/>
              <w:rPr>
                <w:kern w:val="0"/>
                <w:szCs w:val="24"/>
                <w:lang w:bidi="ar"/>
              </w:rPr>
            </w:pPr>
            <w:r>
              <w:rPr>
                <w:kern w:val="0"/>
                <w:szCs w:val="24"/>
                <w:lang w:bidi="ar"/>
              </w:rPr>
              <w:t>2020</w:t>
            </w:r>
            <w:r>
              <w:rPr>
                <w:rFonts w:hint="eastAsia"/>
                <w:kern w:val="0"/>
                <w:szCs w:val="24"/>
                <w:lang w:bidi="ar"/>
              </w:rPr>
              <w:t>年</w:t>
            </w:r>
            <w:r>
              <w:rPr>
                <w:kern w:val="0"/>
                <w:szCs w:val="24"/>
                <w:lang w:bidi="ar"/>
              </w:rPr>
              <w:t>6</w:t>
            </w:r>
            <w:r>
              <w:rPr>
                <w:rFonts w:hint="eastAsia"/>
                <w:kern w:val="0"/>
                <w:szCs w:val="24"/>
                <w:lang w:bidi="ar"/>
              </w:rPr>
              <w:t>月发布</w:t>
            </w:r>
          </w:p>
        </w:tc>
      </w:tr>
      <w:tr w14:paraId="4A551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23" w:type="dxa"/>
            <w:vAlign w:val="center"/>
          </w:tcPr>
          <w:p w14:paraId="0B83D9BE">
            <w:pPr>
              <w:widowControl/>
              <w:spacing w:line="240" w:lineRule="atLeast"/>
              <w:ind w:firstLine="0" w:firstLineChars="0"/>
              <w:jc w:val="center"/>
              <w:rPr>
                <w:kern w:val="0"/>
                <w:szCs w:val="24"/>
                <w:lang w:bidi="ar"/>
              </w:rPr>
            </w:pPr>
            <w:r>
              <w:rPr>
                <w:kern w:val="0"/>
                <w:szCs w:val="24"/>
                <w:lang w:bidi="ar"/>
              </w:rPr>
              <w:t>9</w:t>
            </w:r>
          </w:p>
        </w:tc>
        <w:tc>
          <w:tcPr>
            <w:tcW w:w="5705" w:type="dxa"/>
            <w:vAlign w:val="center"/>
          </w:tcPr>
          <w:p w14:paraId="5C451594">
            <w:pPr>
              <w:widowControl/>
              <w:spacing w:line="240" w:lineRule="atLeast"/>
              <w:ind w:firstLine="0" w:firstLineChars="0"/>
              <w:jc w:val="center"/>
              <w:rPr>
                <w:lang w:bidi="ar"/>
              </w:rPr>
            </w:pPr>
            <w:r>
              <w:rPr>
                <w:lang w:bidi="ar"/>
              </w:rPr>
              <w:t>家具行业工业污染防治可行技术指南</w:t>
            </w:r>
          </w:p>
        </w:tc>
        <w:tc>
          <w:tcPr>
            <w:tcW w:w="1835" w:type="dxa"/>
            <w:vAlign w:val="center"/>
          </w:tcPr>
          <w:p w14:paraId="6159BA83">
            <w:pPr>
              <w:widowControl/>
              <w:spacing w:line="240" w:lineRule="atLeast"/>
              <w:ind w:firstLine="0" w:firstLineChars="0"/>
              <w:jc w:val="center"/>
              <w:rPr>
                <w:kern w:val="0"/>
                <w:szCs w:val="24"/>
                <w:lang w:bidi="ar"/>
              </w:rPr>
            </w:pPr>
            <w:r>
              <w:rPr>
                <w:kern w:val="0"/>
                <w:szCs w:val="24"/>
                <w:lang w:bidi="ar"/>
              </w:rPr>
              <w:t>HJ1180—2021</w:t>
            </w:r>
          </w:p>
        </w:tc>
      </w:tr>
      <w:tr w14:paraId="61015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23" w:type="dxa"/>
            <w:vAlign w:val="center"/>
          </w:tcPr>
          <w:p w14:paraId="3D163971">
            <w:pPr>
              <w:widowControl/>
              <w:spacing w:line="240" w:lineRule="atLeast"/>
              <w:ind w:firstLine="0" w:firstLineChars="0"/>
              <w:jc w:val="center"/>
              <w:rPr>
                <w:kern w:val="0"/>
                <w:szCs w:val="24"/>
                <w:lang w:bidi="ar"/>
              </w:rPr>
            </w:pPr>
            <w:r>
              <w:rPr>
                <w:kern w:val="0"/>
                <w:szCs w:val="24"/>
                <w:lang w:bidi="ar"/>
              </w:rPr>
              <w:t>10</w:t>
            </w:r>
          </w:p>
        </w:tc>
        <w:tc>
          <w:tcPr>
            <w:tcW w:w="5705" w:type="dxa"/>
            <w:vAlign w:val="center"/>
          </w:tcPr>
          <w:p w14:paraId="18A67F17">
            <w:pPr>
              <w:widowControl/>
              <w:spacing w:line="240" w:lineRule="atLeast"/>
              <w:ind w:firstLine="0" w:firstLineChars="0"/>
              <w:jc w:val="center"/>
              <w:rPr>
                <w:lang w:bidi="ar"/>
              </w:rPr>
            </w:pPr>
            <w:r>
              <w:rPr>
                <w:lang w:bidi="ar"/>
              </w:rPr>
              <w:t>汽车工业污染防治可行技术指南</w:t>
            </w:r>
          </w:p>
        </w:tc>
        <w:tc>
          <w:tcPr>
            <w:tcW w:w="1835" w:type="dxa"/>
            <w:vAlign w:val="center"/>
          </w:tcPr>
          <w:p w14:paraId="4666636E">
            <w:pPr>
              <w:widowControl/>
              <w:spacing w:line="240" w:lineRule="atLeast"/>
              <w:ind w:firstLine="0" w:firstLineChars="0"/>
              <w:jc w:val="center"/>
              <w:rPr>
                <w:kern w:val="0"/>
                <w:szCs w:val="24"/>
                <w:lang w:bidi="ar"/>
              </w:rPr>
            </w:pPr>
            <w:r>
              <w:rPr>
                <w:kern w:val="0"/>
                <w:szCs w:val="24"/>
                <w:lang w:bidi="ar"/>
              </w:rPr>
              <w:t>HJ1181—2021</w:t>
            </w:r>
          </w:p>
        </w:tc>
      </w:tr>
      <w:tr w14:paraId="231E9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23" w:type="dxa"/>
            <w:vAlign w:val="center"/>
          </w:tcPr>
          <w:p w14:paraId="0B78D44D">
            <w:pPr>
              <w:widowControl/>
              <w:spacing w:line="240" w:lineRule="atLeast"/>
              <w:ind w:firstLine="0" w:firstLineChars="0"/>
              <w:jc w:val="center"/>
              <w:rPr>
                <w:kern w:val="0"/>
                <w:szCs w:val="24"/>
                <w:lang w:bidi="ar"/>
              </w:rPr>
            </w:pPr>
            <w:r>
              <w:rPr>
                <w:kern w:val="0"/>
                <w:szCs w:val="24"/>
                <w:lang w:bidi="ar"/>
              </w:rPr>
              <w:t>11</w:t>
            </w:r>
          </w:p>
        </w:tc>
        <w:tc>
          <w:tcPr>
            <w:tcW w:w="5705" w:type="dxa"/>
            <w:vAlign w:val="center"/>
          </w:tcPr>
          <w:p w14:paraId="357547BE">
            <w:pPr>
              <w:widowControl/>
              <w:spacing w:line="240" w:lineRule="atLeast"/>
              <w:ind w:firstLine="0" w:firstLineChars="0"/>
              <w:jc w:val="center"/>
              <w:rPr>
                <w:lang w:bidi="ar"/>
              </w:rPr>
            </w:pPr>
            <w:r>
              <w:rPr>
                <w:lang w:bidi="ar"/>
              </w:rPr>
              <w:t>铸造工业污染防治可行技术指南</w:t>
            </w:r>
          </w:p>
        </w:tc>
        <w:tc>
          <w:tcPr>
            <w:tcW w:w="1835" w:type="dxa"/>
            <w:vAlign w:val="center"/>
          </w:tcPr>
          <w:p w14:paraId="6F4E1F95">
            <w:pPr>
              <w:widowControl/>
              <w:spacing w:line="240" w:lineRule="atLeast"/>
              <w:ind w:firstLine="0" w:firstLineChars="0"/>
              <w:rPr>
                <w:kern w:val="0"/>
                <w:szCs w:val="24"/>
                <w:lang w:bidi="ar"/>
              </w:rPr>
            </w:pPr>
            <w:r>
              <w:rPr>
                <w:kern w:val="0"/>
                <w:szCs w:val="24"/>
                <w:lang w:bidi="ar"/>
              </w:rPr>
              <w:t>T/CFA0308023-2023</w:t>
            </w:r>
          </w:p>
        </w:tc>
      </w:tr>
    </w:tbl>
    <w:p w14:paraId="676CABF4">
      <w:pPr>
        <w:ind w:firstLine="480"/>
        <w:rPr>
          <w:lang w:bidi="ar"/>
        </w:rPr>
      </w:pPr>
      <w:bookmarkStart w:id="173" w:name="_Toc19451"/>
      <w:bookmarkStart w:id="174" w:name="_Toc9798"/>
      <w:r>
        <w:rPr>
          <w:rFonts w:hint="eastAsia"/>
          <w:lang w:bidi="ar"/>
        </w:rPr>
        <w:t>2、</w:t>
      </w:r>
      <w:r>
        <w:rPr>
          <w:lang w:bidi="ar"/>
        </w:rPr>
        <w:t>地方相关标准</w:t>
      </w:r>
      <w:bookmarkEnd w:id="173"/>
      <w:bookmarkEnd w:id="174"/>
    </w:p>
    <w:p w14:paraId="4F0D8D73">
      <w:pPr>
        <w:widowControl/>
        <w:ind w:firstLine="480"/>
        <w:jc w:val="left"/>
      </w:pPr>
      <w:r>
        <w:rPr>
          <w:rFonts w:hint="eastAsia"/>
          <w:lang w:bidi="ar"/>
        </w:rPr>
        <w:t>近年来</w:t>
      </w:r>
      <w:r>
        <w:rPr>
          <w:lang w:bidi="ar"/>
        </w:rPr>
        <w:t>，山东、河南、四川、广东、上海等省（市）为控制挥发性有机物污染，陆续发布实施了挥发性有机物控制技术指南。</w:t>
      </w:r>
      <w:r>
        <w:rPr>
          <w:rFonts w:hint="eastAsia"/>
          <w:lang w:bidi="ar"/>
        </w:rPr>
        <w:t>具体见下表4.1-2。</w:t>
      </w:r>
    </w:p>
    <w:p w14:paraId="55F85E80">
      <w:pPr>
        <w:keepNext/>
        <w:keepLines/>
        <w:spacing w:line="240" w:lineRule="atLeast"/>
        <w:ind w:firstLine="482"/>
        <w:jc w:val="center"/>
        <w:rPr>
          <w:b/>
          <w:bCs/>
          <w:lang w:bidi="ar"/>
        </w:rPr>
      </w:pPr>
      <w:r>
        <w:rPr>
          <w:b/>
          <w:bCs/>
          <w:lang w:bidi="ar"/>
        </w:rPr>
        <w:t>表4.1-2  各省市表面涂装行业VOCs控制技术指南一览表</w:t>
      </w:r>
    </w:p>
    <w:tbl>
      <w:tblPr>
        <w:tblStyle w:val="21"/>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0"/>
        <w:gridCol w:w="684"/>
        <w:gridCol w:w="5766"/>
        <w:gridCol w:w="1429"/>
      </w:tblGrid>
      <w:tr w14:paraId="500C2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520" w:type="dxa"/>
            <w:vAlign w:val="center"/>
          </w:tcPr>
          <w:p w14:paraId="344E39A7">
            <w:pPr>
              <w:widowControl/>
              <w:spacing w:line="240" w:lineRule="atLeast"/>
              <w:ind w:firstLine="0" w:firstLineChars="0"/>
              <w:jc w:val="center"/>
              <w:rPr>
                <w:b/>
                <w:bCs/>
                <w:kern w:val="0"/>
                <w:sz w:val="21"/>
                <w:szCs w:val="21"/>
                <w:lang w:bidi="ar"/>
              </w:rPr>
            </w:pPr>
            <w:r>
              <w:rPr>
                <w:rFonts w:hint="eastAsia"/>
                <w:b/>
                <w:bCs/>
                <w:kern w:val="0"/>
                <w:sz w:val="21"/>
                <w:szCs w:val="21"/>
                <w:lang w:bidi="ar"/>
              </w:rPr>
              <w:t>地方</w:t>
            </w:r>
          </w:p>
        </w:tc>
        <w:tc>
          <w:tcPr>
            <w:tcW w:w="684" w:type="dxa"/>
            <w:vAlign w:val="center"/>
          </w:tcPr>
          <w:p w14:paraId="38069DC0">
            <w:pPr>
              <w:widowControl/>
              <w:spacing w:line="240" w:lineRule="atLeast"/>
              <w:ind w:firstLine="0" w:firstLineChars="0"/>
              <w:jc w:val="center"/>
              <w:rPr>
                <w:b/>
                <w:bCs/>
                <w:kern w:val="0"/>
                <w:sz w:val="21"/>
                <w:szCs w:val="21"/>
                <w:lang w:bidi="ar"/>
              </w:rPr>
            </w:pPr>
            <w:r>
              <w:rPr>
                <w:rFonts w:hint="eastAsia"/>
                <w:b/>
                <w:bCs/>
                <w:kern w:val="0"/>
                <w:sz w:val="21"/>
                <w:szCs w:val="21"/>
                <w:lang w:bidi="ar"/>
              </w:rPr>
              <w:t>序号</w:t>
            </w:r>
          </w:p>
        </w:tc>
        <w:tc>
          <w:tcPr>
            <w:tcW w:w="5766" w:type="dxa"/>
            <w:vAlign w:val="center"/>
          </w:tcPr>
          <w:p w14:paraId="70DE9FAB">
            <w:pPr>
              <w:widowControl/>
              <w:spacing w:line="240" w:lineRule="atLeast"/>
              <w:ind w:firstLine="0" w:firstLineChars="0"/>
              <w:jc w:val="center"/>
              <w:rPr>
                <w:b/>
                <w:bCs/>
                <w:kern w:val="0"/>
                <w:sz w:val="21"/>
                <w:szCs w:val="21"/>
                <w:lang w:bidi="ar"/>
              </w:rPr>
            </w:pPr>
            <w:r>
              <w:rPr>
                <w:rFonts w:hint="eastAsia"/>
                <w:b/>
                <w:bCs/>
                <w:kern w:val="0"/>
                <w:sz w:val="21"/>
                <w:szCs w:val="21"/>
                <w:lang w:bidi="ar"/>
              </w:rPr>
              <w:t>标准名称</w:t>
            </w:r>
          </w:p>
        </w:tc>
        <w:tc>
          <w:tcPr>
            <w:tcW w:w="1429" w:type="dxa"/>
            <w:vAlign w:val="center"/>
          </w:tcPr>
          <w:p w14:paraId="27A069EB">
            <w:pPr>
              <w:widowControl/>
              <w:spacing w:line="240" w:lineRule="atLeast"/>
              <w:ind w:firstLine="0" w:firstLineChars="0"/>
              <w:jc w:val="center"/>
              <w:rPr>
                <w:b/>
                <w:bCs/>
                <w:kern w:val="0"/>
                <w:sz w:val="21"/>
                <w:szCs w:val="21"/>
                <w:lang w:bidi="ar"/>
              </w:rPr>
            </w:pPr>
            <w:r>
              <w:rPr>
                <w:rFonts w:hint="eastAsia"/>
                <w:b/>
                <w:bCs/>
                <w:kern w:val="0"/>
                <w:sz w:val="21"/>
                <w:szCs w:val="21"/>
                <w:lang w:bidi="ar"/>
              </w:rPr>
              <w:t>编号</w:t>
            </w:r>
            <w:r>
              <w:rPr>
                <w:b/>
                <w:bCs/>
                <w:kern w:val="0"/>
                <w:sz w:val="21"/>
                <w:szCs w:val="21"/>
                <w:lang w:bidi="ar"/>
              </w:rPr>
              <w:t>/</w:t>
            </w:r>
            <w:r>
              <w:rPr>
                <w:rFonts w:hint="eastAsia"/>
                <w:b/>
                <w:bCs/>
                <w:kern w:val="0"/>
                <w:sz w:val="21"/>
                <w:szCs w:val="21"/>
                <w:lang w:bidi="ar"/>
              </w:rPr>
              <w:t>发布时间</w:t>
            </w:r>
          </w:p>
        </w:tc>
      </w:tr>
      <w:tr w14:paraId="1F1DE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0" w:type="dxa"/>
            <w:vMerge w:val="restart"/>
            <w:vAlign w:val="center"/>
          </w:tcPr>
          <w:p w14:paraId="7E3B164A">
            <w:pPr>
              <w:widowControl/>
              <w:spacing w:line="240" w:lineRule="atLeast"/>
              <w:ind w:firstLine="0" w:firstLineChars="0"/>
              <w:jc w:val="center"/>
              <w:rPr>
                <w:sz w:val="21"/>
                <w:szCs w:val="21"/>
                <w:lang w:bidi="ar"/>
              </w:rPr>
            </w:pPr>
            <w:r>
              <w:rPr>
                <w:sz w:val="21"/>
                <w:szCs w:val="21"/>
                <w:lang w:bidi="ar"/>
              </w:rPr>
              <w:t>河南</w:t>
            </w:r>
          </w:p>
        </w:tc>
        <w:tc>
          <w:tcPr>
            <w:tcW w:w="684" w:type="dxa"/>
            <w:vAlign w:val="center"/>
          </w:tcPr>
          <w:p w14:paraId="3BD2FFF5">
            <w:pPr>
              <w:widowControl/>
              <w:spacing w:line="240" w:lineRule="atLeast"/>
              <w:ind w:firstLine="0" w:firstLineChars="0"/>
              <w:jc w:val="center"/>
              <w:rPr>
                <w:sz w:val="21"/>
                <w:szCs w:val="21"/>
                <w:lang w:bidi="ar"/>
              </w:rPr>
            </w:pPr>
            <w:r>
              <w:rPr>
                <w:sz w:val="21"/>
                <w:szCs w:val="21"/>
                <w:lang w:bidi="ar"/>
              </w:rPr>
              <w:t>1</w:t>
            </w:r>
          </w:p>
        </w:tc>
        <w:tc>
          <w:tcPr>
            <w:tcW w:w="5766" w:type="dxa"/>
            <w:vAlign w:val="center"/>
          </w:tcPr>
          <w:p w14:paraId="28B22336">
            <w:pPr>
              <w:widowControl/>
              <w:spacing w:line="240" w:lineRule="atLeast"/>
              <w:ind w:firstLine="0" w:firstLineChars="0"/>
              <w:jc w:val="center"/>
              <w:rPr>
                <w:sz w:val="21"/>
                <w:szCs w:val="21"/>
                <w:lang w:bidi="ar"/>
              </w:rPr>
            </w:pPr>
            <w:r>
              <w:rPr>
                <w:sz w:val="21"/>
                <w:szCs w:val="21"/>
                <w:lang w:bidi="ar"/>
              </w:rPr>
              <w:t>河南省表面涂装行业挥发性有机物污染防治技术规范</w:t>
            </w:r>
          </w:p>
        </w:tc>
        <w:tc>
          <w:tcPr>
            <w:tcW w:w="1429" w:type="dxa"/>
            <w:vAlign w:val="center"/>
          </w:tcPr>
          <w:p w14:paraId="54FD93DA">
            <w:pPr>
              <w:widowControl/>
              <w:spacing w:line="240" w:lineRule="atLeast"/>
              <w:ind w:firstLine="0" w:firstLineChars="0"/>
              <w:jc w:val="center"/>
              <w:rPr>
                <w:sz w:val="21"/>
                <w:szCs w:val="21"/>
                <w:lang w:bidi="ar"/>
              </w:rPr>
            </w:pPr>
            <w:r>
              <w:rPr>
                <w:sz w:val="21"/>
                <w:szCs w:val="21"/>
                <w:lang w:bidi="ar"/>
              </w:rPr>
              <w:t>征求稿</w:t>
            </w:r>
          </w:p>
        </w:tc>
      </w:tr>
      <w:tr w14:paraId="1AF62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520" w:type="dxa"/>
            <w:vMerge w:val="continue"/>
            <w:vAlign w:val="center"/>
          </w:tcPr>
          <w:p w14:paraId="590371CE">
            <w:pPr>
              <w:widowControl/>
              <w:spacing w:line="240" w:lineRule="atLeast"/>
              <w:ind w:firstLine="0" w:firstLineChars="0"/>
              <w:jc w:val="center"/>
              <w:rPr>
                <w:sz w:val="21"/>
                <w:szCs w:val="21"/>
                <w:lang w:bidi="ar"/>
              </w:rPr>
            </w:pPr>
          </w:p>
        </w:tc>
        <w:tc>
          <w:tcPr>
            <w:tcW w:w="684" w:type="dxa"/>
            <w:vAlign w:val="center"/>
          </w:tcPr>
          <w:p w14:paraId="7431C61F">
            <w:pPr>
              <w:widowControl/>
              <w:spacing w:line="240" w:lineRule="atLeast"/>
              <w:ind w:firstLine="0" w:firstLineChars="0"/>
              <w:jc w:val="center"/>
              <w:rPr>
                <w:sz w:val="21"/>
                <w:szCs w:val="21"/>
                <w:lang w:bidi="ar"/>
              </w:rPr>
            </w:pPr>
            <w:r>
              <w:rPr>
                <w:sz w:val="21"/>
                <w:szCs w:val="21"/>
                <w:lang w:bidi="ar"/>
              </w:rPr>
              <w:t>2</w:t>
            </w:r>
          </w:p>
        </w:tc>
        <w:tc>
          <w:tcPr>
            <w:tcW w:w="5766" w:type="dxa"/>
            <w:vAlign w:val="center"/>
          </w:tcPr>
          <w:p w14:paraId="348A8EBF">
            <w:pPr>
              <w:widowControl/>
              <w:spacing w:line="240" w:lineRule="atLeast"/>
              <w:ind w:firstLine="0" w:firstLineChars="0"/>
              <w:jc w:val="center"/>
              <w:rPr>
                <w:sz w:val="21"/>
                <w:szCs w:val="21"/>
                <w:lang w:bidi="ar"/>
              </w:rPr>
            </w:pPr>
            <w:r>
              <w:rPr>
                <w:rFonts w:hint="eastAsia"/>
                <w:sz w:val="21"/>
                <w:szCs w:val="21"/>
                <w:lang w:bidi="ar"/>
              </w:rPr>
              <w:t>工业涂装工序挥发性有机物污染防治技术规范</w:t>
            </w:r>
          </w:p>
        </w:tc>
        <w:tc>
          <w:tcPr>
            <w:tcW w:w="1429" w:type="dxa"/>
            <w:vAlign w:val="center"/>
          </w:tcPr>
          <w:p w14:paraId="4292F60D">
            <w:pPr>
              <w:widowControl/>
              <w:spacing w:line="240" w:lineRule="atLeast"/>
              <w:ind w:firstLine="0" w:firstLineChars="0"/>
              <w:jc w:val="center"/>
              <w:rPr>
                <w:sz w:val="21"/>
                <w:szCs w:val="21"/>
                <w:lang w:bidi="ar"/>
              </w:rPr>
            </w:pPr>
            <w:r>
              <w:rPr>
                <w:sz w:val="21"/>
                <w:szCs w:val="21"/>
                <w:lang w:bidi="ar"/>
              </w:rPr>
              <w:t>DB41/T 1946—2020</w:t>
            </w:r>
          </w:p>
        </w:tc>
      </w:tr>
      <w:tr w14:paraId="3E775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520" w:type="dxa"/>
            <w:vMerge w:val="restart"/>
            <w:vAlign w:val="center"/>
          </w:tcPr>
          <w:p w14:paraId="6F645826">
            <w:pPr>
              <w:widowControl/>
              <w:spacing w:line="240" w:lineRule="atLeast"/>
              <w:ind w:firstLine="0" w:firstLineChars="0"/>
              <w:jc w:val="center"/>
              <w:rPr>
                <w:sz w:val="21"/>
                <w:szCs w:val="21"/>
                <w:lang w:bidi="ar"/>
              </w:rPr>
            </w:pPr>
            <w:r>
              <w:rPr>
                <w:sz w:val="21"/>
                <w:szCs w:val="21"/>
                <w:lang w:bidi="ar"/>
              </w:rPr>
              <w:t>四川</w:t>
            </w:r>
          </w:p>
        </w:tc>
        <w:tc>
          <w:tcPr>
            <w:tcW w:w="684" w:type="dxa"/>
            <w:vAlign w:val="center"/>
          </w:tcPr>
          <w:p w14:paraId="7796939A">
            <w:pPr>
              <w:widowControl/>
              <w:spacing w:line="240" w:lineRule="atLeast"/>
              <w:ind w:firstLine="0" w:firstLineChars="0"/>
              <w:jc w:val="center"/>
              <w:rPr>
                <w:sz w:val="21"/>
                <w:szCs w:val="21"/>
                <w:lang w:bidi="ar"/>
              </w:rPr>
            </w:pPr>
            <w:r>
              <w:rPr>
                <w:sz w:val="21"/>
                <w:szCs w:val="21"/>
                <w:lang w:bidi="ar"/>
              </w:rPr>
              <w:t>3</w:t>
            </w:r>
          </w:p>
        </w:tc>
        <w:tc>
          <w:tcPr>
            <w:tcW w:w="5766" w:type="dxa"/>
            <w:vAlign w:val="center"/>
          </w:tcPr>
          <w:p w14:paraId="66A96711">
            <w:pPr>
              <w:widowControl/>
              <w:spacing w:line="240" w:lineRule="atLeast"/>
              <w:ind w:firstLine="0" w:firstLineChars="0"/>
              <w:jc w:val="center"/>
              <w:rPr>
                <w:sz w:val="21"/>
                <w:szCs w:val="21"/>
                <w:lang w:bidi="ar"/>
              </w:rPr>
            </w:pPr>
            <w:r>
              <w:rPr>
                <w:sz w:val="21"/>
                <w:szCs w:val="21"/>
                <w:lang w:bidi="ar"/>
              </w:rPr>
              <w:t>四川省汽车涂装行业挥发性有机物控制技术指南</w:t>
            </w:r>
          </w:p>
        </w:tc>
        <w:tc>
          <w:tcPr>
            <w:tcW w:w="1429" w:type="dxa"/>
            <w:vMerge w:val="restart"/>
            <w:vAlign w:val="center"/>
          </w:tcPr>
          <w:p w14:paraId="0BE3D537">
            <w:pPr>
              <w:widowControl/>
              <w:spacing w:line="240" w:lineRule="atLeast"/>
              <w:ind w:firstLine="0" w:firstLineChars="0"/>
              <w:jc w:val="center"/>
              <w:rPr>
                <w:sz w:val="21"/>
                <w:szCs w:val="21"/>
                <w:lang w:bidi="ar"/>
              </w:rPr>
            </w:pPr>
            <w:r>
              <w:rPr>
                <w:sz w:val="21"/>
                <w:szCs w:val="21"/>
                <w:lang w:bidi="ar"/>
              </w:rPr>
              <w:t>2018年第5号</w:t>
            </w:r>
          </w:p>
        </w:tc>
      </w:tr>
      <w:tr w14:paraId="25F63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520" w:type="dxa"/>
            <w:vMerge w:val="continue"/>
            <w:vAlign w:val="center"/>
          </w:tcPr>
          <w:p w14:paraId="0266C6E5">
            <w:pPr>
              <w:widowControl/>
              <w:spacing w:line="240" w:lineRule="atLeast"/>
              <w:ind w:firstLine="0" w:firstLineChars="0"/>
              <w:jc w:val="center"/>
              <w:rPr>
                <w:sz w:val="21"/>
                <w:szCs w:val="21"/>
                <w:lang w:bidi="ar"/>
              </w:rPr>
            </w:pPr>
          </w:p>
        </w:tc>
        <w:tc>
          <w:tcPr>
            <w:tcW w:w="684" w:type="dxa"/>
            <w:vAlign w:val="center"/>
          </w:tcPr>
          <w:p w14:paraId="3BE8FC09">
            <w:pPr>
              <w:widowControl/>
              <w:spacing w:line="240" w:lineRule="atLeast"/>
              <w:ind w:firstLine="0" w:firstLineChars="0"/>
              <w:jc w:val="center"/>
              <w:rPr>
                <w:sz w:val="21"/>
                <w:szCs w:val="21"/>
                <w:lang w:bidi="ar"/>
              </w:rPr>
            </w:pPr>
            <w:r>
              <w:rPr>
                <w:sz w:val="21"/>
                <w:szCs w:val="21"/>
                <w:lang w:bidi="ar"/>
              </w:rPr>
              <w:t>4</w:t>
            </w:r>
          </w:p>
        </w:tc>
        <w:tc>
          <w:tcPr>
            <w:tcW w:w="5766" w:type="dxa"/>
            <w:vAlign w:val="center"/>
          </w:tcPr>
          <w:p w14:paraId="7419ABA0">
            <w:pPr>
              <w:widowControl/>
              <w:spacing w:line="240" w:lineRule="atLeast"/>
              <w:ind w:firstLine="0" w:firstLineChars="0"/>
              <w:jc w:val="center"/>
              <w:rPr>
                <w:sz w:val="21"/>
                <w:szCs w:val="21"/>
                <w:lang w:bidi="ar"/>
              </w:rPr>
            </w:pPr>
            <w:r>
              <w:rPr>
                <w:sz w:val="21"/>
                <w:szCs w:val="21"/>
                <w:lang w:bidi="ar"/>
              </w:rPr>
              <w:t>四川省家具制造行业挥发性有机物控制技术指南</w:t>
            </w:r>
          </w:p>
        </w:tc>
        <w:tc>
          <w:tcPr>
            <w:tcW w:w="1429" w:type="dxa"/>
            <w:vMerge w:val="continue"/>
            <w:vAlign w:val="center"/>
          </w:tcPr>
          <w:p w14:paraId="17DA1F79">
            <w:pPr>
              <w:widowControl/>
              <w:spacing w:line="240" w:lineRule="atLeast"/>
              <w:ind w:firstLine="0" w:firstLineChars="0"/>
              <w:jc w:val="center"/>
              <w:rPr>
                <w:sz w:val="21"/>
                <w:szCs w:val="21"/>
                <w:lang w:bidi="ar"/>
              </w:rPr>
            </w:pPr>
          </w:p>
        </w:tc>
      </w:tr>
      <w:tr w14:paraId="70ACD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520" w:type="dxa"/>
            <w:vMerge w:val="continue"/>
            <w:vAlign w:val="center"/>
          </w:tcPr>
          <w:p w14:paraId="71023EBB">
            <w:pPr>
              <w:widowControl/>
              <w:spacing w:line="240" w:lineRule="atLeast"/>
              <w:ind w:firstLine="0" w:firstLineChars="0"/>
              <w:jc w:val="center"/>
              <w:rPr>
                <w:sz w:val="21"/>
                <w:szCs w:val="21"/>
                <w:lang w:bidi="ar"/>
              </w:rPr>
            </w:pPr>
          </w:p>
        </w:tc>
        <w:tc>
          <w:tcPr>
            <w:tcW w:w="684" w:type="dxa"/>
            <w:vAlign w:val="center"/>
          </w:tcPr>
          <w:p w14:paraId="7E2D74C1">
            <w:pPr>
              <w:widowControl/>
              <w:spacing w:line="240" w:lineRule="atLeast"/>
              <w:ind w:firstLine="0" w:firstLineChars="0"/>
              <w:jc w:val="center"/>
              <w:rPr>
                <w:sz w:val="21"/>
                <w:szCs w:val="21"/>
                <w:lang w:bidi="ar"/>
              </w:rPr>
            </w:pPr>
            <w:r>
              <w:rPr>
                <w:sz w:val="21"/>
                <w:szCs w:val="21"/>
                <w:lang w:bidi="ar"/>
              </w:rPr>
              <w:t>5</w:t>
            </w:r>
          </w:p>
        </w:tc>
        <w:tc>
          <w:tcPr>
            <w:tcW w:w="5766" w:type="dxa"/>
            <w:vAlign w:val="center"/>
          </w:tcPr>
          <w:p w14:paraId="30E514D0">
            <w:pPr>
              <w:widowControl/>
              <w:spacing w:line="240" w:lineRule="atLeast"/>
              <w:ind w:firstLine="0" w:firstLineChars="0"/>
              <w:jc w:val="center"/>
              <w:rPr>
                <w:sz w:val="21"/>
                <w:szCs w:val="21"/>
                <w:lang w:bidi="ar"/>
              </w:rPr>
            </w:pPr>
            <w:r>
              <w:rPr>
                <w:rStyle w:val="23"/>
                <w:rFonts w:hint="eastAsia"/>
                <w:b w:val="0"/>
                <w:bCs w:val="0"/>
                <w:sz w:val="21"/>
                <w:szCs w:val="21"/>
                <w:lang w:bidi="ar"/>
              </w:rPr>
              <w:t>四川省重污染天气金属表面处理及热处理加工等10个行业应急减排措施制定技术指南（试行）</w:t>
            </w:r>
          </w:p>
        </w:tc>
        <w:tc>
          <w:tcPr>
            <w:tcW w:w="1429" w:type="dxa"/>
            <w:vAlign w:val="center"/>
          </w:tcPr>
          <w:p w14:paraId="5F5C3D69">
            <w:pPr>
              <w:widowControl/>
              <w:spacing w:line="240" w:lineRule="atLeast"/>
              <w:ind w:firstLine="0" w:firstLineChars="0"/>
              <w:jc w:val="center"/>
              <w:rPr>
                <w:sz w:val="21"/>
                <w:szCs w:val="21"/>
                <w:lang w:bidi="ar"/>
              </w:rPr>
            </w:pPr>
            <w:r>
              <w:rPr>
                <w:sz w:val="21"/>
                <w:szCs w:val="21"/>
                <w:lang w:bidi="ar"/>
              </w:rPr>
              <w:t>2023.2</w:t>
            </w:r>
          </w:p>
        </w:tc>
      </w:tr>
      <w:tr w14:paraId="44511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20" w:type="dxa"/>
            <w:vMerge w:val="restart"/>
            <w:vAlign w:val="center"/>
          </w:tcPr>
          <w:p w14:paraId="32520B3D">
            <w:pPr>
              <w:widowControl/>
              <w:spacing w:line="240" w:lineRule="atLeast"/>
              <w:ind w:firstLine="0" w:firstLineChars="0"/>
              <w:jc w:val="center"/>
              <w:rPr>
                <w:sz w:val="21"/>
                <w:szCs w:val="21"/>
                <w:lang w:bidi="ar"/>
              </w:rPr>
            </w:pPr>
            <w:r>
              <w:rPr>
                <w:sz w:val="21"/>
                <w:szCs w:val="21"/>
                <w:lang w:bidi="ar"/>
              </w:rPr>
              <w:t>广东</w:t>
            </w:r>
          </w:p>
        </w:tc>
        <w:tc>
          <w:tcPr>
            <w:tcW w:w="684" w:type="dxa"/>
            <w:vAlign w:val="center"/>
          </w:tcPr>
          <w:p w14:paraId="1086023F">
            <w:pPr>
              <w:widowControl/>
              <w:spacing w:line="240" w:lineRule="atLeast"/>
              <w:ind w:firstLine="0" w:firstLineChars="0"/>
              <w:jc w:val="center"/>
              <w:rPr>
                <w:sz w:val="21"/>
                <w:szCs w:val="21"/>
                <w:lang w:bidi="ar"/>
              </w:rPr>
            </w:pPr>
            <w:r>
              <w:rPr>
                <w:sz w:val="21"/>
                <w:szCs w:val="21"/>
                <w:lang w:bidi="ar"/>
              </w:rPr>
              <w:t>6</w:t>
            </w:r>
          </w:p>
        </w:tc>
        <w:tc>
          <w:tcPr>
            <w:tcW w:w="5766" w:type="dxa"/>
            <w:vAlign w:val="center"/>
          </w:tcPr>
          <w:p w14:paraId="0010F1A0">
            <w:pPr>
              <w:widowControl/>
              <w:spacing w:line="240" w:lineRule="atLeast"/>
              <w:ind w:firstLine="0" w:firstLineChars="0"/>
              <w:jc w:val="center"/>
              <w:rPr>
                <w:sz w:val="21"/>
                <w:szCs w:val="21"/>
                <w:lang w:bidi="ar"/>
              </w:rPr>
            </w:pPr>
            <w:r>
              <w:rPr>
                <w:sz w:val="21"/>
                <w:szCs w:val="21"/>
                <w:lang w:bidi="ar"/>
              </w:rPr>
              <w:t>广东省表面涂装（汽车制造业）挥发性有机废气治理技术指南</w:t>
            </w:r>
          </w:p>
        </w:tc>
        <w:tc>
          <w:tcPr>
            <w:tcW w:w="1429" w:type="dxa"/>
            <w:vAlign w:val="center"/>
          </w:tcPr>
          <w:p w14:paraId="25122639">
            <w:pPr>
              <w:widowControl/>
              <w:spacing w:line="240" w:lineRule="atLeast"/>
              <w:ind w:firstLine="0" w:firstLineChars="0"/>
              <w:jc w:val="center"/>
              <w:rPr>
                <w:sz w:val="21"/>
                <w:szCs w:val="21"/>
                <w:lang w:bidi="ar"/>
              </w:rPr>
            </w:pPr>
            <w:r>
              <w:rPr>
                <w:sz w:val="21"/>
                <w:szCs w:val="21"/>
                <w:lang w:bidi="ar"/>
              </w:rPr>
              <w:t>2015.2.1</w:t>
            </w:r>
          </w:p>
        </w:tc>
      </w:tr>
      <w:tr w14:paraId="1113A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0" w:type="dxa"/>
            <w:vMerge w:val="continue"/>
            <w:vAlign w:val="center"/>
          </w:tcPr>
          <w:p w14:paraId="767DCD29">
            <w:pPr>
              <w:widowControl/>
              <w:spacing w:line="240" w:lineRule="atLeast"/>
              <w:ind w:firstLine="0" w:firstLineChars="0"/>
              <w:jc w:val="center"/>
              <w:rPr>
                <w:sz w:val="21"/>
                <w:szCs w:val="21"/>
                <w:lang w:bidi="ar"/>
              </w:rPr>
            </w:pPr>
          </w:p>
        </w:tc>
        <w:tc>
          <w:tcPr>
            <w:tcW w:w="684" w:type="dxa"/>
            <w:vAlign w:val="center"/>
          </w:tcPr>
          <w:p w14:paraId="5334A1EB">
            <w:pPr>
              <w:widowControl/>
              <w:spacing w:line="240" w:lineRule="atLeast"/>
              <w:ind w:firstLine="0" w:firstLineChars="0"/>
              <w:jc w:val="center"/>
              <w:rPr>
                <w:sz w:val="21"/>
                <w:szCs w:val="21"/>
                <w:lang w:bidi="ar"/>
              </w:rPr>
            </w:pPr>
            <w:r>
              <w:rPr>
                <w:sz w:val="21"/>
                <w:szCs w:val="21"/>
                <w:lang w:bidi="ar"/>
              </w:rPr>
              <w:t>7</w:t>
            </w:r>
          </w:p>
        </w:tc>
        <w:tc>
          <w:tcPr>
            <w:tcW w:w="5766" w:type="dxa"/>
            <w:vAlign w:val="center"/>
          </w:tcPr>
          <w:p w14:paraId="2534904F">
            <w:pPr>
              <w:widowControl/>
              <w:spacing w:line="240" w:lineRule="atLeast"/>
              <w:ind w:firstLine="0" w:firstLineChars="0"/>
              <w:jc w:val="center"/>
              <w:rPr>
                <w:sz w:val="21"/>
                <w:szCs w:val="21"/>
                <w:lang w:bidi="ar"/>
              </w:rPr>
            </w:pPr>
            <w:r>
              <w:rPr>
                <w:sz w:val="21"/>
                <w:szCs w:val="21"/>
                <w:lang w:bidi="ar"/>
              </w:rPr>
              <w:t>广东省家具制造行业挥发性有机废气治理技术指南</w:t>
            </w:r>
          </w:p>
        </w:tc>
        <w:tc>
          <w:tcPr>
            <w:tcW w:w="1429" w:type="dxa"/>
            <w:vAlign w:val="center"/>
          </w:tcPr>
          <w:p w14:paraId="6C90FBAA">
            <w:pPr>
              <w:widowControl/>
              <w:spacing w:line="240" w:lineRule="atLeast"/>
              <w:ind w:firstLine="0" w:firstLineChars="0"/>
              <w:jc w:val="center"/>
              <w:rPr>
                <w:sz w:val="21"/>
                <w:szCs w:val="21"/>
                <w:lang w:bidi="ar"/>
              </w:rPr>
            </w:pPr>
            <w:r>
              <w:rPr>
                <w:sz w:val="21"/>
                <w:szCs w:val="21"/>
                <w:lang w:bidi="ar"/>
              </w:rPr>
              <w:t>2015.1.1</w:t>
            </w:r>
          </w:p>
        </w:tc>
      </w:tr>
      <w:tr w14:paraId="1C7A4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0" w:type="dxa"/>
            <w:vMerge w:val="continue"/>
            <w:vAlign w:val="center"/>
          </w:tcPr>
          <w:p w14:paraId="3A28F868">
            <w:pPr>
              <w:widowControl/>
              <w:spacing w:line="240" w:lineRule="atLeast"/>
              <w:ind w:firstLine="0" w:firstLineChars="0"/>
              <w:jc w:val="center"/>
              <w:rPr>
                <w:sz w:val="21"/>
                <w:szCs w:val="21"/>
                <w:lang w:bidi="ar"/>
              </w:rPr>
            </w:pPr>
          </w:p>
        </w:tc>
        <w:tc>
          <w:tcPr>
            <w:tcW w:w="684" w:type="dxa"/>
            <w:vAlign w:val="center"/>
          </w:tcPr>
          <w:p w14:paraId="50CE90FC">
            <w:pPr>
              <w:widowControl/>
              <w:spacing w:line="240" w:lineRule="atLeast"/>
              <w:ind w:firstLine="0" w:firstLineChars="0"/>
              <w:jc w:val="center"/>
              <w:rPr>
                <w:sz w:val="21"/>
                <w:szCs w:val="21"/>
                <w:lang w:bidi="ar"/>
              </w:rPr>
            </w:pPr>
            <w:r>
              <w:rPr>
                <w:sz w:val="21"/>
                <w:szCs w:val="21"/>
                <w:lang w:bidi="ar"/>
              </w:rPr>
              <w:t>8</w:t>
            </w:r>
          </w:p>
        </w:tc>
        <w:tc>
          <w:tcPr>
            <w:tcW w:w="5766" w:type="dxa"/>
            <w:vAlign w:val="center"/>
          </w:tcPr>
          <w:p w14:paraId="1F9D0045">
            <w:pPr>
              <w:widowControl/>
              <w:spacing w:line="240" w:lineRule="atLeast"/>
              <w:ind w:firstLine="0" w:firstLineChars="0"/>
              <w:jc w:val="center"/>
              <w:rPr>
                <w:sz w:val="21"/>
                <w:szCs w:val="21"/>
                <w:lang w:bidi="ar"/>
              </w:rPr>
            </w:pPr>
            <w:r>
              <w:rPr>
                <w:sz w:val="21"/>
                <w:szCs w:val="21"/>
                <w:lang w:bidi="ar"/>
              </w:rPr>
              <w:t>塑料制品与制造业</w:t>
            </w:r>
            <w:r>
              <w:rPr>
                <w:rFonts w:hint="eastAsia"/>
                <w:sz w:val="21"/>
                <w:szCs w:val="21"/>
                <w:lang w:bidi="ar"/>
              </w:rPr>
              <w:t>挥发性有机物</w:t>
            </w:r>
            <w:r>
              <w:rPr>
                <w:sz w:val="21"/>
                <w:szCs w:val="21"/>
                <w:lang w:bidi="ar"/>
              </w:rPr>
              <w:t>综合整治技术指南</w:t>
            </w:r>
          </w:p>
        </w:tc>
        <w:tc>
          <w:tcPr>
            <w:tcW w:w="1429" w:type="dxa"/>
            <w:vAlign w:val="center"/>
          </w:tcPr>
          <w:p w14:paraId="6520200B">
            <w:pPr>
              <w:widowControl/>
              <w:spacing w:line="240" w:lineRule="atLeast"/>
              <w:ind w:firstLine="0" w:firstLineChars="0"/>
              <w:jc w:val="center"/>
              <w:rPr>
                <w:sz w:val="21"/>
                <w:szCs w:val="21"/>
                <w:lang w:bidi="ar"/>
              </w:rPr>
            </w:pPr>
            <w:r>
              <w:rPr>
                <w:sz w:val="21"/>
                <w:szCs w:val="21"/>
                <w:lang w:bidi="ar"/>
              </w:rPr>
              <w:t>2022.6</w:t>
            </w:r>
          </w:p>
        </w:tc>
      </w:tr>
      <w:tr w14:paraId="4EFF6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0" w:type="dxa"/>
            <w:vMerge w:val="continue"/>
            <w:vAlign w:val="center"/>
          </w:tcPr>
          <w:p w14:paraId="196B29A2">
            <w:pPr>
              <w:widowControl/>
              <w:spacing w:line="240" w:lineRule="atLeast"/>
              <w:ind w:firstLine="0" w:firstLineChars="0"/>
              <w:jc w:val="center"/>
              <w:rPr>
                <w:sz w:val="21"/>
                <w:szCs w:val="21"/>
                <w:lang w:bidi="ar"/>
              </w:rPr>
            </w:pPr>
          </w:p>
        </w:tc>
        <w:tc>
          <w:tcPr>
            <w:tcW w:w="684" w:type="dxa"/>
            <w:vAlign w:val="center"/>
          </w:tcPr>
          <w:p w14:paraId="3F28F282">
            <w:pPr>
              <w:widowControl/>
              <w:spacing w:line="240" w:lineRule="atLeast"/>
              <w:ind w:firstLine="0" w:firstLineChars="0"/>
              <w:jc w:val="center"/>
              <w:rPr>
                <w:sz w:val="21"/>
                <w:szCs w:val="21"/>
                <w:lang w:bidi="ar"/>
              </w:rPr>
            </w:pPr>
            <w:r>
              <w:rPr>
                <w:sz w:val="21"/>
                <w:szCs w:val="21"/>
                <w:lang w:bidi="ar"/>
              </w:rPr>
              <w:t>9</w:t>
            </w:r>
          </w:p>
        </w:tc>
        <w:tc>
          <w:tcPr>
            <w:tcW w:w="5766" w:type="dxa"/>
            <w:vAlign w:val="center"/>
          </w:tcPr>
          <w:p w14:paraId="20EC4A15">
            <w:pPr>
              <w:widowControl/>
              <w:spacing w:line="240" w:lineRule="atLeast"/>
              <w:ind w:firstLine="0" w:firstLineChars="0"/>
              <w:jc w:val="center"/>
              <w:rPr>
                <w:sz w:val="21"/>
                <w:szCs w:val="21"/>
                <w:lang w:bidi="ar"/>
              </w:rPr>
            </w:pPr>
            <w:r>
              <w:rPr>
                <w:rFonts w:hint="eastAsia"/>
                <w:sz w:val="21"/>
                <w:szCs w:val="21"/>
                <w:lang w:bidi="ar"/>
              </w:rPr>
              <w:t>广东省电子元件制造业挥发性有机物综合整治技术指南</w:t>
            </w:r>
          </w:p>
        </w:tc>
        <w:tc>
          <w:tcPr>
            <w:tcW w:w="1429" w:type="dxa"/>
            <w:vAlign w:val="center"/>
          </w:tcPr>
          <w:p w14:paraId="23E2CDD7">
            <w:pPr>
              <w:widowControl/>
              <w:spacing w:line="240" w:lineRule="atLeast"/>
              <w:ind w:firstLine="0" w:firstLineChars="0"/>
              <w:jc w:val="center"/>
              <w:rPr>
                <w:sz w:val="21"/>
                <w:szCs w:val="21"/>
                <w:lang w:bidi="ar"/>
              </w:rPr>
            </w:pPr>
            <w:r>
              <w:rPr>
                <w:sz w:val="21"/>
                <w:szCs w:val="21"/>
                <w:lang w:bidi="ar"/>
              </w:rPr>
              <w:t>2022.6</w:t>
            </w:r>
          </w:p>
        </w:tc>
      </w:tr>
      <w:tr w14:paraId="5047E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0" w:type="dxa"/>
            <w:vMerge w:val="restart"/>
            <w:vAlign w:val="center"/>
          </w:tcPr>
          <w:p w14:paraId="37E4CCBD">
            <w:pPr>
              <w:widowControl/>
              <w:spacing w:line="240" w:lineRule="atLeast"/>
              <w:ind w:firstLine="0" w:firstLineChars="0"/>
              <w:jc w:val="center"/>
              <w:rPr>
                <w:sz w:val="21"/>
                <w:szCs w:val="21"/>
                <w:lang w:bidi="ar"/>
              </w:rPr>
            </w:pPr>
            <w:r>
              <w:rPr>
                <w:sz w:val="21"/>
                <w:szCs w:val="21"/>
                <w:lang w:bidi="ar"/>
              </w:rPr>
              <w:t>浙江</w:t>
            </w:r>
          </w:p>
        </w:tc>
        <w:tc>
          <w:tcPr>
            <w:tcW w:w="684" w:type="dxa"/>
            <w:vAlign w:val="center"/>
          </w:tcPr>
          <w:p w14:paraId="5F8F4DD1">
            <w:pPr>
              <w:widowControl/>
              <w:spacing w:line="240" w:lineRule="atLeast"/>
              <w:ind w:firstLine="0" w:firstLineChars="0"/>
              <w:jc w:val="center"/>
              <w:rPr>
                <w:sz w:val="21"/>
                <w:szCs w:val="21"/>
                <w:lang w:bidi="ar"/>
              </w:rPr>
            </w:pPr>
            <w:r>
              <w:rPr>
                <w:sz w:val="21"/>
                <w:szCs w:val="21"/>
                <w:lang w:bidi="ar"/>
              </w:rPr>
              <w:t>10</w:t>
            </w:r>
          </w:p>
        </w:tc>
        <w:tc>
          <w:tcPr>
            <w:tcW w:w="5766" w:type="dxa"/>
            <w:vAlign w:val="center"/>
          </w:tcPr>
          <w:p w14:paraId="17A93EFE">
            <w:pPr>
              <w:widowControl/>
              <w:spacing w:line="240" w:lineRule="atLeast"/>
              <w:ind w:firstLine="0" w:firstLineChars="0"/>
              <w:jc w:val="center"/>
              <w:rPr>
                <w:sz w:val="21"/>
                <w:szCs w:val="21"/>
                <w:lang w:bidi="ar"/>
              </w:rPr>
            </w:pPr>
            <w:r>
              <w:rPr>
                <w:rFonts w:hint="eastAsia"/>
                <w:sz w:val="21"/>
                <w:szCs w:val="21"/>
                <w:lang w:bidi="ar"/>
              </w:rPr>
              <w:t>浙江宁波</w:t>
            </w:r>
            <w:r>
              <w:fldChar w:fldCharType="begin"/>
            </w:r>
            <w:r>
              <w:instrText xml:space="preserve"> HYPERLINK "https://huanbao.bjx.com.cn/topics/tuzhuangxingye/" \t "https://huanbao.bjx.com.cn/news/20170103/_blank" </w:instrText>
            </w:r>
            <w:r>
              <w:fldChar w:fldCharType="separate"/>
            </w:r>
            <w:r>
              <w:rPr>
                <w:rStyle w:val="27"/>
                <w:color w:val="auto"/>
                <w:sz w:val="21"/>
                <w:szCs w:val="21"/>
                <w:u w:val="none"/>
                <w:lang w:bidi="ar"/>
              </w:rPr>
              <w:t>涂装行业</w:t>
            </w:r>
            <w:r>
              <w:rPr>
                <w:rStyle w:val="27"/>
                <w:color w:val="auto"/>
                <w:sz w:val="21"/>
                <w:szCs w:val="21"/>
                <w:u w:val="none"/>
                <w:lang w:bidi="ar"/>
              </w:rPr>
              <w:fldChar w:fldCharType="end"/>
            </w:r>
            <w:r>
              <w:fldChar w:fldCharType="begin"/>
            </w:r>
            <w:r>
              <w:instrText xml:space="preserve"> HYPERLINK "https://huanbao.bjx.com.cn/topics/huifaxingyoujiwu/" \t "https://huanbao.bjx.com.cn/news/20170103/_blank" </w:instrText>
            </w:r>
            <w:r>
              <w:fldChar w:fldCharType="separate"/>
            </w:r>
            <w:r>
              <w:rPr>
                <w:rStyle w:val="27"/>
                <w:color w:val="auto"/>
                <w:sz w:val="21"/>
                <w:szCs w:val="21"/>
                <w:u w:val="none"/>
                <w:lang w:bidi="ar"/>
              </w:rPr>
              <w:t>挥发性有机物</w:t>
            </w:r>
            <w:r>
              <w:rPr>
                <w:rStyle w:val="27"/>
                <w:color w:val="auto"/>
                <w:sz w:val="21"/>
                <w:szCs w:val="21"/>
                <w:u w:val="none"/>
                <w:lang w:bidi="ar"/>
              </w:rPr>
              <w:fldChar w:fldCharType="end"/>
            </w:r>
            <w:r>
              <w:rPr>
                <w:sz w:val="21"/>
                <w:szCs w:val="21"/>
                <w:lang w:bidi="ar"/>
              </w:rPr>
              <w:t>污染治理技术指南（试行）</w:t>
            </w:r>
          </w:p>
        </w:tc>
        <w:tc>
          <w:tcPr>
            <w:tcW w:w="1429" w:type="dxa"/>
            <w:vAlign w:val="center"/>
          </w:tcPr>
          <w:p w14:paraId="52E2579C">
            <w:pPr>
              <w:widowControl/>
              <w:spacing w:line="240" w:lineRule="atLeast"/>
              <w:ind w:firstLine="0" w:firstLineChars="0"/>
              <w:jc w:val="center"/>
              <w:rPr>
                <w:sz w:val="21"/>
                <w:szCs w:val="21"/>
                <w:lang w:bidi="ar"/>
              </w:rPr>
            </w:pPr>
            <w:r>
              <w:rPr>
                <w:sz w:val="21"/>
                <w:szCs w:val="21"/>
                <w:lang w:bidi="ar"/>
              </w:rPr>
              <w:t>2017.3</w:t>
            </w:r>
          </w:p>
        </w:tc>
      </w:tr>
      <w:tr w14:paraId="50DD8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520" w:type="dxa"/>
            <w:vMerge w:val="continue"/>
            <w:vAlign w:val="center"/>
          </w:tcPr>
          <w:p w14:paraId="7115BA65">
            <w:pPr>
              <w:widowControl/>
              <w:spacing w:line="240" w:lineRule="atLeast"/>
              <w:ind w:firstLine="0" w:firstLineChars="0"/>
              <w:jc w:val="center"/>
              <w:rPr>
                <w:sz w:val="21"/>
                <w:szCs w:val="21"/>
                <w:lang w:bidi="ar"/>
              </w:rPr>
            </w:pPr>
          </w:p>
        </w:tc>
        <w:tc>
          <w:tcPr>
            <w:tcW w:w="684" w:type="dxa"/>
            <w:vAlign w:val="center"/>
          </w:tcPr>
          <w:p w14:paraId="699CA1DC">
            <w:pPr>
              <w:widowControl/>
              <w:spacing w:line="240" w:lineRule="atLeast"/>
              <w:ind w:firstLine="0" w:firstLineChars="0"/>
              <w:jc w:val="center"/>
              <w:rPr>
                <w:sz w:val="21"/>
                <w:szCs w:val="21"/>
                <w:lang w:bidi="ar"/>
              </w:rPr>
            </w:pPr>
            <w:r>
              <w:rPr>
                <w:sz w:val="21"/>
                <w:szCs w:val="21"/>
                <w:lang w:bidi="ar"/>
              </w:rPr>
              <w:t>11</w:t>
            </w:r>
          </w:p>
        </w:tc>
        <w:tc>
          <w:tcPr>
            <w:tcW w:w="5766" w:type="dxa"/>
            <w:vAlign w:val="center"/>
          </w:tcPr>
          <w:p w14:paraId="38FA67CA">
            <w:pPr>
              <w:widowControl/>
              <w:spacing w:line="240" w:lineRule="atLeast"/>
              <w:ind w:firstLine="0" w:firstLineChars="0"/>
              <w:jc w:val="center"/>
              <w:rPr>
                <w:sz w:val="21"/>
                <w:szCs w:val="21"/>
                <w:lang w:bidi="ar"/>
              </w:rPr>
            </w:pPr>
            <w:r>
              <w:rPr>
                <w:rFonts w:hint="eastAsia"/>
                <w:sz w:val="21"/>
                <w:szCs w:val="21"/>
                <w:lang w:bidi="ar"/>
              </w:rPr>
              <w:t>浙江省挥发性有机物污染防治可行技术指南汽车维修</w:t>
            </w:r>
          </w:p>
        </w:tc>
        <w:tc>
          <w:tcPr>
            <w:tcW w:w="1429" w:type="dxa"/>
            <w:vMerge w:val="restart"/>
            <w:vAlign w:val="center"/>
          </w:tcPr>
          <w:p w14:paraId="796C7550">
            <w:pPr>
              <w:widowControl/>
              <w:spacing w:line="240" w:lineRule="atLeast"/>
              <w:ind w:firstLine="0" w:firstLineChars="0"/>
              <w:jc w:val="center"/>
              <w:rPr>
                <w:sz w:val="21"/>
                <w:szCs w:val="21"/>
                <w:lang w:bidi="ar"/>
              </w:rPr>
            </w:pPr>
            <w:r>
              <w:rPr>
                <w:sz w:val="21"/>
                <w:szCs w:val="21"/>
                <w:lang w:bidi="ar"/>
              </w:rPr>
              <w:t>2021.11</w:t>
            </w:r>
          </w:p>
        </w:tc>
      </w:tr>
      <w:tr w14:paraId="565B5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520" w:type="dxa"/>
            <w:vMerge w:val="continue"/>
            <w:vAlign w:val="center"/>
          </w:tcPr>
          <w:p w14:paraId="5CE2C135">
            <w:pPr>
              <w:widowControl/>
              <w:spacing w:line="240" w:lineRule="atLeast"/>
              <w:ind w:firstLine="0" w:firstLineChars="0"/>
              <w:jc w:val="center"/>
              <w:rPr>
                <w:sz w:val="21"/>
                <w:szCs w:val="21"/>
                <w:lang w:bidi="ar"/>
              </w:rPr>
            </w:pPr>
          </w:p>
        </w:tc>
        <w:tc>
          <w:tcPr>
            <w:tcW w:w="684" w:type="dxa"/>
            <w:vAlign w:val="center"/>
          </w:tcPr>
          <w:p w14:paraId="021AEE04">
            <w:pPr>
              <w:widowControl/>
              <w:spacing w:line="240" w:lineRule="atLeast"/>
              <w:ind w:firstLine="0" w:firstLineChars="0"/>
              <w:jc w:val="center"/>
              <w:rPr>
                <w:sz w:val="21"/>
                <w:szCs w:val="21"/>
                <w:lang w:bidi="ar"/>
              </w:rPr>
            </w:pPr>
            <w:r>
              <w:rPr>
                <w:sz w:val="21"/>
                <w:szCs w:val="21"/>
                <w:lang w:bidi="ar"/>
              </w:rPr>
              <w:t>12</w:t>
            </w:r>
          </w:p>
        </w:tc>
        <w:tc>
          <w:tcPr>
            <w:tcW w:w="5766" w:type="dxa"/>
            <w:vAlign w:val="center"/>
          </w:tcPr>
          <w:p w14:paraId="5E29C82C">
            <w:pPr>
              <w:widowControl/>
              <w:spacing w:line="240" w:lineRule="atLeast"/>
              <w:ind w:firstLine="0" w:firstLineChars="0"/>
              <w:jc w:val="center"/>
              <w:rPr>
                <w:sz w:val="21"/>
                <w:szCs w:val="21"/>
                <w:lang w:bidi="ar"/>
              </w:rPr>
            </w:pPr>
            <w:r>
              <w:rPr>
                <w:rFonts w:hint="eastAsia"/>
                <w:sz w:val="21"/>
                <w:szCs w:val="21"/>
                <w:lang w:bidi="ar"/>
              </w:rPr>
              <w:t>浙江省挥发性有机物污染防治可行技术指南家具制造</w:t>
            </w:r>
          </w:p>
        </w:tc>
        <w:tc>
          <w:tcPr>
            <w:tcW w:w="1429" w:type="dxa"/>
            <w:vMerge w:val="continue"/>
            <w:vAlign w:val="center"/>
          </w:tcPr>
          <w:p w14:paraId="03F12D16">
            <w:pPr>
              <w:widowControl/>
              <w:spacing w:line="240" w:lineRule="atLeast"/>
              <w:ind w:firstLine="0" w:firstLineChars="0"/>
              <w:jc w:val="center"/>
              <w:rPr>
                <w:sz w:val="21"/>
                <w:szCs w:val="21"/>
                <w:lang w:bidi="ar"/>
              </w:rPr>
            </w:pPr>
          </w:p>
        </w:tc>
      </w:tr>
      <w:tr w14:paraId="64702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520" w:type="dxa"/>
            <w:vMerge w:val="continue"/>
            <w:vAlign w:val="center"/>
          </w:tcPr>
          <w:p w14:paraId="09C260BE">
            <w:pPr>
              <w:widowControl/>
              <w:spacing w:line="240" w:lineRule="atLeast"/>
              <w:ind w:firstLine="0" w:firstLineChars="0"/>
              <w:jc w:val="center"/>
              <w:rPr>
                <w:sz w:val="21"/>
                <w:szCs w:val="21"/>
                <w:lang w:bidi="ar"/>
              </w:rPr>
            </w:pPr>
          </w:p>
        </w:tc>
        <w:tc>
          <w:tcPr>
            <w:tcW w:w="684" w:type="dxa"/>
            <w:vAlign w:val="center"/>
          </w:tcPr>
          <w:p w14:paraId="01061545">
            <w:pPr>
              <w:widowControl/>
              <w:spacing w:line="240" w:lineRule="atLeast"/>
              <w:ind w:firstLine="0" w:firstLineChars="0"/>
              <w:jc w:val="center"/>
              <w:rPr>
                <w:sz w:val="21"/>
                <w:szCs w:val="21"/>
                <w:lang w:bidi="ar"/>
              </w:rPr>
            </w:pPr>
            <w:r>
              <w:rPr>
                <w:sz w:val="21"/>
                <w:szCs w:val="21"/>
                <w:lang w:bidi="ar"/>
              </w:rPr>
              <w:t>13</w:t>
            </w:r>
          </w:p>
        </w:tc>
        <w:tc>
          <w:tcPr>
            <w:tcW w:w="5766" w:type="dxa"/>
            <w:vAlign w:val="center"/>
          </w:tcPr>
          <w:p w14:paraId="616AAD0A">
            <w:pPr>
              <w:widowControl/>
              <w:spacing w:line="240" w:lineRule="atLeast"/>
              <w:ind w:firstLine="0" w:firstLineChars="0"/>
              <w:jc w:val="center"/>
              <w:rPr>
                <w:sz w:val="21"/>
                <w:szCs w:val="21"/>
                <w:lang w:bidi="ar"/>
              </w:rPr>
            </w:pPr>
            <w:r>
              <w:rPr>
                <w:rFonts w:hint="eastAsia"/>
                <w:sz w:val="21"/>
                <w:szCs w:val="21"/>
                <w:lang w:bidi="ar"/>
              </w:rPr>
              <w:t>浙江省挥发性有机物污染防治可行技术指南船舶修造</w:t>
            </w:r>
          </w:p>
        </w:tc>
        <w:tc>
          <w:tcPr>
            <w:tcW w:w="1429" w:type="dxa"/>
            <w:vMerge w:val="continue"/>
            <w:vAlign w:val="center"/>
          </w:tcPr>
          <w:p w14:paraId="547D4295">
            <w:pPr>
              <w:widowControl/>
              <w:spacing w:line="240" w:lineRule="atLeast"/>
              <w:ind w:firstLine="0" w:firstLineChars="0"/>
              <w:jc w:val="center"/>
              <w:rPr>
                <w:sz w:val="21"/>
                <w:szCs w:val="21"/>
                <w:lang w:bidi="ar"/>
              </w:rPr>
            </w:pPr>
          </w:p>
        </w:tc>
      </w:tr>
      <w:tr w14:paraId="6D77A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520" w:type="dxa"/>
            <w:vMerge w:val="continue"/>
            <w:vAlign w:val="center"/>
          </w:tcPr>
          <w:p w14:paraId="3E863D95">
            <w:pPr>
              <w:widowControl/>
              <w:spacing w:line="240" w:lineRule="atLeast"/>
              <w:ind w:firstLine="0" w:firstLineChars="0"/>
              <w:jc w:val="center"/>
              <w:rPr>
                <w:sz w:val="21"/>
                <w:szCs w:val="21"/>
                <w:lang w:bidi="ar"/>
              </w:rPr>
            </w:pPr>
          </w:p>
        </w:tc>
        <w:tc>
          <w:tcPr>
            <w:tcW w:w="684" w:type="dxa"/>
            <w:vAlign w:val="center"/>
          </w:tcPr>
          <w:p w14:paraId="3EF564D4">
            <w:pPr>
              <w:widowControl/>
              <w:spacing w:line="240" w:lineRule="atLeast"/>
              <w:ind w:firstLine="0" w:firstLineChars="0"/>
              <w:jc w:val="center"/>
              <w:rPr>
                <w:sz w:val="21"/>
                <w:szCs w:val="21"/>
                <w:lang w:bidi="ar"/>
              </w:rPr>
            </w:pPr>
            <w:r>
              <w:rPr>
                <w:sz w:val="21"/>
                <w:szCs w:val="21"/>
                <w:lang w:bidi="ar"/>
              </w:rPr>
              <w:t>14</w:t>
            </w:r>
          </w:p>
        </w:tc>
        <w:tc>
          <w:tcPr>
            <w:tcW w:w="5766" w:type="dxa"/>
            <w:vAlign w:val="center"/>
          </w:tcPr>
          <w:p w14:paraId="672A01D7">
            <w:pPr>
              <w:widowControl/>
              <w:spacing w:line="240" w:lineRule="atLeast"/>
              <w:ind w:firstLine="0" w:firstLineChars="0"/>
              <w:jc w:val="center"/>
              <w:rPr>
                <w:sz w:val="21"/>
                <w:szCs w:val="21"/>
                <w:lang w:bidi="ar"/>
              </w:rPr>
            </w:pPr>
            <w:r>
              <w:rPr>
                <w:rFonts w:hint="eastAsia"/>
                <w:sz w:val="21"/>
                <w:szCs w:val="21"/>
                <w:lang w:bidi="ar"/>
              </w:rPr>
              <w:t>浙江省挥发性有机物污染防治可行技术指南整车制造</w:t>
            </w:r>
          </w:p>
        </w:tc>
        <w:tc>
          <w:tcPr>
            <w:tcW w:w="1429" w:type="dxa"/>
            <w:vMerge w:val="continue"/>
            <w:vAlign w:val="center"/>
          </w:tcPr>
          <w:p w14:paraId="5195735D">
            <w:pPr>
              <w:widowControl/>
              <w:spacing w:line="240" w:lineRule="atLeast"/>
              <w:ind w:firstLine="0" w:firstLineChars="0"/>
              <w:jc w:val="center"/>
              <w:rPr>
                <w:sz w:val="21"/>
                <w:szCs w:val="21"/>
                <w:lang w:bidi="ar"/>
              </w:rPr>
            </w:pPr>
          </w:p>
        </w:tc>
      </w:tr>
      <w:tr w14:paraId="6711C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520" w:type="dxa"/>
            <w:vMerge w:val="continue"/>
            <w:vAlign w:val="center"/>
          </w:tcPr>
          <w:p w14:paraId="21D9BA6F">
            <w:pPr>
              <w:widowControl/>
              <w:spacing w:line="240" w:lineRule="atLeast"/>
              <w:ind w:firstLine="0" w:firstLineChars="0"/>
              <w:jc w:val="center"/>
              <w:rPr>
                <w:sz w:val="21"/>
                <w:szCs w:val="21"/>
                <w:lang w:bidi="ar"/>
              </w:rPr>
            </w:pPr>
          </w:p>
        </w:tc>
        <w:tc>
          <w:tcPr>
            <w:tcW w:w="684" w:type="dxa"/>
            <w:vAlign w:val="center"/>
          </w:tcPr>
          <w:p w14:paraId="38D1F24A">
            <w:pPr>
              <w:widowControl/>
              <w:spacing w:line="240" w:lineRule="atLeast"/>
              <w:ind w:firstLine="0" w:firstLineChars="0"/>
              <w:jc w:val="center"/>
              <w:rPr>
                <w:sz w:val="21"/>
                <w:szCs w:val="21"/>
                <w:lang w:bidi="ar"/>
              </w:rPr>
            </w:pPr>
            <w:r>
              <w:rPr>
                <w:sz w:val="21"/>
                <w:szCs w:val="21"/>
                <w:lang w:bidi="ar"/>
              </w:rPr>
              <w:t>15</w:t>
            </w:r>
          </w:p>
        </w:tc>
        <w:tc>
          <w:tcPr>
            <w:tcW w:w="5766" w:type="dxa"/>
            <w:vAlign w:val="center"/>
          </w:tcPr>
          <w:p w14:paraId="6948E309">
            <w:pPr>
              <w:widowControl/>
              <w:spacing w:line="240" w:lineRule="atLeast"/>
              <w:ind w:firstLine="0" w:firstLineChars="0"/>
              <w:jc w:val="center"/>
              <w:rPr>
                <w:sz w:val="21"/>
                <w:szCs w:val="21"/>
                <w:lang w:bidi="ar"/>
              </w:rPr>
            </w:pPr>
            <w:r>
              <w:rPr>
                <w:rFonts w:hint="eastAsia"/>
                <w:sz w:val="21"/>
                <w:szCs w:val="21"/>
                <w:lang w:bidi="ar"/>
              </w:rPr>
              <w:t>浙江省挥发性有机物污染防治可行技术指南装备制造</w:t>
            </w:r>
          </w:p>
        </w:tc>
        <w:tc>
          <w:tcPr>
            <w:tcW w:w="1429" w:type="dxa"/>
            <w:vMerge w:val="continue"/>
            <w:vAlign w:val="center"/>
          </w:tcPr>
          <w:p w14:paraId="2C3ACE86">
            <w:pPr>
              <w:widowControl/>
              <w:spacing w:line="240" w:lineRule="atLeast"/>
              <w:ind w:firstLine="0" w:firstLineChars="0"/>
              <w:jc w:val="center"/>
              <w:rPr>
                <w:sz w:val="21"/>
                <w:szCs w:val="21"/>
                <w:lang w:bidi="ar"/>
              </w:rPr>
            </w:pPr>
          </w:p>
        </w:tc>
      </w:tr>
      <w:tr w14:paraId="01B53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520" w:type="dxa"/>
            <w:vMerge w:val="continue"/>
            <w:vAlign w:val="center"/>
          </w:tcPr>
          <w:p w14:paraId="300BCFB9">
            <w:pPr>
              <w:widowControl/>
              <w:spacing w:line="240" w:lineRule="atLeast"/>
              <w:ind w:firstLine="0" w:firstLineChars="0"/>
              <w:jc w:val="center"/>
              <w:rPr>
                <w:sz w:val="21"/>
                <w:szCs w:val="21"/>
                <w:lang w:bidi="ar"/>
              </w:rPr>
            </w:pPr>
          </w:p>
        </w:tc>
        <w:tc>
          <w:tcPr>
            <w:tcW w:w="684" w:type="dxa"/>
            <w:vAlign w:val="center"/>
          </w:tcPr>
          <w:p w14:paraId="502CB0B1">
            <w:pPr>
              <w:widowControl/>
              <w:spacing w:line="240" w:lineRule="atLeast"/>
              <w:ind w:firstLine="0" w:firstLineChars="0"/>
              <w:jc w:val="center"/>
              <w:rPr>
                <w:sz w:val="21"/>
                <w:szCs w:val="21"/>
                <w:lang w:bidi="ar"/>
              </w:rPr>
            </w:pPr>
            <w:r>
              <w:rPr>
                <w:sz w:val="21"/>
                <w:szCs w:val="21"/>
                <w:lang w:bidi="ar"/>
              </w:rPr>
              <w:t>16</w:t>
            </w:r>
          </w:p>
        </w:tc>
        <w:tc>
          <w:tcPr>
            <w:tcW w:w="5766" w:type="dxa"/>
            <w:vAlign w:val="center"/>
          </w:tcPr>
          <w:p w14:paraId="5D8350E3">
            <w:pPr>
              <w:widowControl/>
              <w:spacing w:line="240" w:lineRule="atLeast"/>
              <w:ind w:firstLine="0" w:firstLineChars="0"/>
              <w:jc w:val="center"/>
              <w:rPr>
                <w:sz w:val="21"/>
                <w:szCs w:val="21"/>
                <w:lang w:bidi="ar"/>
              </w:rPr>
            </w:pPr>
            <w:r>
              <w:rPr>
                <w:rFonts w:hint="eastAsia"/>
                <w:sz w:val="21"/>
                <w:szCs w:val="21"/>
                <w:lang w:bidi="ar"/>
              </w:rPr>
              <w:t>浙江省挥发性有机物污染防治可行技术指南五金制造</w:t>
            </w:r>
          </w:p>
        </w:tc>
        <w:tc>
          <w:tcPr>
            <w:tcW w:w="1429" w:type="dxa"/>
            <w:vMerge w:val="continue"/>
            <w:vAlign w:val="center"/>
          </w:tcPr>
          <w:p w14:paraId="11C30576">
            <w:pPr>
              <w:widowControl/>
              <w:spacing w:line="240" w:lineRule="atLeast"/>
              <w:ind w:firstLine="0" w:firstLineChars="0"/>
              <w:jc w:val="center"/>
              <w:rPr>
                <w:sz w:val="21"/>
                <w:szCs w:val="21"/>
                <w:lang w:bidi="ar"/>
              </w:rPr>
            </w:pPr>
          </w:p>
        </w:tc>
      </w:tr>
      <w:tr w14:paraId="0E7E9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520" w:type="dxa"/>
            <w:vMerge w:val="continue"/>
            <w:vAlign w:val="center"/>
          </w:tcPr>
          <w:p w14:paraId="1F010E55">
            <w:pPr>
              <w:widowControl/>
              <w:spacing w:line="240" w:lineRule="atLeast"/>
              <w:ind w:firstLine="0" w:firstLineChars="0"/>
              <w:jc w:val="center"/>
              <w:rPr>
                <w:sz w:val="21"/>
                <w:szCs w:val="21"/>
                <w:lang w:bidi="ar"/>
              </w:rPr>
            </w:pPr>
          </w:p>
        </w:tc>
        <w:tc>
          <w:tcPr>
            <w:tcW w:w="684" w:type="dxa"/>
            <w:vAlign w:val="center"/>
          </w:tcPr>
          <w:p w14:paraId="068FA1C9">
            <w:pPr>
              <w:widowControl/>
              <w:spacing w:line="240" w:lineRule="atLeast"/>
              <w:ind w:firstLine="0" w:firstLineChars="0"/>
              <w:jc w:val="center"/>
              <w:rPr>
                <w:sz w:val="21"/>
                <w:szCs w:val="21"/>
                <w:lang w:bidi="ar"/>
              </w:rPr>
            </w:pPr>
            <w:r>
              <w:rPr>
                <w:sz w:val="21"/>
                <w:szCs w:val="21"/>
                <w:lang w:bidi="ar"/>
              </w:rPr>
              <w:t>17</w:t>
            </w:r>
          </w:p>
        </w:tc>
        <w:tc>
          <w:tcPr>
            <w:tcW w:w="5766" w:type="dxa"/>
            <w:vAlign w:val="center"/>
          </w:tcPr>
          <w:p w14:paraId="4F3E4A66">
            <w:pPr>
              <w:widowControl/>
              <w:spacing w:line="240" w:lineRule="atLeast"/>
              <w:ind w:firstLine="0" w:firstLineChars="0"/>
              <w:jc w:val="center"/>
              <w:rPr>
                <w:sz w:val="21"/>
                <w:szCs w:val="21"/>
                <w:lang w:bidi="ar"/>
              </w:rPr>
            </w:pPr>
            <w:r>
              <w:rPr>
                <w:rFonts w:hint="eastAsia"/>
                <w:sz w:val="21"/>
                <w:szCs w:val="21"/>
                <w:lang w:bidi="ar"/>
              </w:rPr>
              <w:t>浙江省挥发性有机物污染防治可行技术指南金属材料</w:t>
            </w:r>
          </w:p>
        </w:tc>
        <w:tc>
          <w:tcPr>
            <w:tcW w:w="1429" w:type="dxa"/>
            <w:vMerge w:val="continue"/>
            <w:vAlign w:val="center"/>
          </w:tcPr>
          <w:p w14:paraId="23B9159B">
            <w:pPr>
              <w:widowControl/>
              <w:spacing w:line="240" w:lineRule="atLeast"/>
              <w:ind w:firstLine="0" w:firstLineChars="0"/>
              <w:jc w:val="center"/>
              <w:rPr>
                <w:sz w:val="21"/>
                <w:szCs w:val="21"/>
                <w:lang w:bidi="ar"/>
              </w:rPr>
            </w:pPr>
          </w:p>
        </w:tc>
      </w:tr>
      <w:tr w14:paraId="3AEAF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520" w:type="dxa"/>
            <w:vMerge w:val="continue"/>
            <w:vAlign w:val="center"/>
          </w:tcPr>
          <w:p w14:paraId="29E7B34B">
            <w:pPr>
              <w:widowControl/>
              <w:spacing w:line="240" w:lineRule="atLeast"/>
              <w:ind w:firstLine="0" w:firstLineChars="0"/>
              <w:jc w:val="center"/>
              <w:rPr>
                <w:sz w:val="21"/>
                <w:szCs w:val="21"/>
                <w:lang w:bidi="ar"/>
              </w:rPr>
            </w:pPr>
          </w:p>
        </w:tc>
        <w:tc>
          <w:tcPr>
            <w:tcW w:w="684" w:type="dxa"/>
            <w:vAlign w:val="center"/>
          </w:tcPr>
          <w:p w14:paraId="38D6194A">
            <w:pPr>
              <w:widowControl/>
              <w:spacing w:line="240" w:lineRule="atLeast"/>
              <w:ind w:firstLine="0" w:firstLineChars="0"/>
              <w:jc w:val="center"/>
              <w:rPr>
                <w:sz w:val="21"/>
                <w:szCs w:val="21"/>
                <w:lang w:bidi="ar"/>
              </w:rPr>
            </w:pPr>
            <w:r>
              <w:rPr>
                <w:sz w:val="21"/>
                <w:szCs w:val="21"/>
                <w:lang w:bidi="ar"/>
              </w:rPr>
              <w:t>18</w:t>
            </w:r>
          </w:p>
        </w:tc>
        <w:tc>
          <w:tcPr>
            <w:tcW w:w="5766" w:type="dxa"/>
            <w:vAlign w:val="center"/>
          </w:tcPr>
          <w:p w14:paraId="08950BF2">
            <w:pPr>
              <w:widowControl/>
              <w:spacing w:line="240" w:lineRule="atLeast"/>
              <w:ind w:firstLine="0" w:firstLineChars="0"/>
              <w:jc w:val="center"/>
              <w:rPr>
                <w:sz w:val="21"/>
                <w:szCs w:val="21"/>
                <w:lang w:bidi="ar"/>
              </w:rPr>
            </w:pPr>
            <w:r>
              <w:rPr>
                <w:rFonts w:hint="eastAsia"/>
                <w:sz w:val="21"/>
                <w:szCs w:val="21"/>
                <w:lang w:bidi="ar"/>
              </w:rPr>
              <w:t>浙江省挥发性有机物污染防治可行技术指南</w:t>
            </w:r>
            <w:r>
              <w:rPr>
                <w:sz w:val="21"/>
                <w:szCs w:val="21"/>
                <w:lang w:bidi="ar"/>
              </w:rPr>
              <w:t>五金制造</w:t>
            </w:r>
          </w:p>
        </w:tc>
        <w:tc>
          <w:tcPr>
            <w:tcW w:w="1429" w:type="dxa"/>
            <w:vMerge w:val="continue"/>
            <w:vAlign w:val="center"/>
          </w:tcPr>
          <w:p w14:paraId="58F7F125">
            <w:pPr>
              <w:widowControl/>
              <w:spacing w:line="240" w:lineRule="atLeast"/>
              <w:ind w:firstLine="0" w:firstLineChars="0"/>
              <w:jc w:val="center"/>
              <w:rPr>
                <w:sz w:val="21"/>
                <w:szCs w:val="21"/>
                <w:lang w:bidi="ar"/>
              </w:rPr>
            </w:pPr>
          </w:p>
        </w:tc>
      </w:tr>
      <w:tr w14:paraId="5E82C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520" w:type="dxa"/>
            <w:vMerge w:val="continue"/>
            <w:vAlign w:val="center"/>
          </w:tcPr>
          <w:p w14:paraId="62C7E10B">
            <w:pPr>
              <w:widowControl/>
              <w:spacing w:line="240" w:lineRule="atLeast"/>
              <w:ind w:firstLine="0" w:firstLineChars="0"/>
              <w:jc w:val="center"/>
              <w:rPr>
                <w:sz w:val="21"/>
                <w:szCs w:val="21"/>
                <w:lang w:bidi="ar"/>
              </w:rPr>
            </w:pPr>
          </w:p>
        </w:tc>
        <w:tc>
          <w:tcPr>
            <w:tcW w:w="684" w:type="dxa"/>
            <w:vAlign w:val="center"/>
          </w:tcPr>
          <w:p w14:paraId="29113D5D">
            <w:pPr>
              <w:widowControl/>
              <w:spacing w:line="240" w:lineRule="atLeast"/>
              <w:ind w:firstLine="0" w:firstLineChars="0"/>
              <w:jc w:val="center"/>
              <w:rPr>
                <w:sz w:val="21"/>
                <w:szCs w:val="21"/>
                <w:lang w:bidi="ar"/>
              </w:rPr>
            </w:pPr>
            <w:r>
              <w:rPr>
                <w:sz w:val="21"/>
                <w:szCs w:val="21"/>
                <w:lang w:bidi="ar"/>
              </w:rPr>
              <w:t>19</w:t>
            </w:r>
          </w:p>
        </w:tc>
        <w:tc>
          <w:tcPr>
            <w:tcW w:w="5766" w:type="dxa"/>
            <w:vAlign w:val="center"/>
          </w:tcPr>
          <w:p w14:paraId="156BCE83">
            <w:pPr>
              <w:widowControl/>
              <w:spacing w:line="240" w:lineRule="atLeast"/>
              <w:ind w:firstLine="0" w:firstLineChars="0"/>
              <w:jc w:val="center"/>
              <w:rPr>
                <w:sz w:val="21"/>
                <w:szCs w:val="21"/>
                <w:lang w:bidi="ar"/>
              </w:rPr>
            </w:pPr>
            <w:r>
              <w:rPr>
                <w:rFonts w:hint="eastAsia"/>
                <w:sz w:val="21"/>
                <w:szCs w:val="21"/>
                <w:lang w:bidi="ar"/>
              </w:rPr>
              <w:t>浙江省工业涂装工序挥发性有机物污染防治可行技术指南</w:t>
            </w:r>
          </w:p>
        </w:tc>
        <w:tc>
          <w:tcPr>
            <w:tcW w:w="1429" w:type="dxa"/>
            <w:vAlign w:val="center"/>
          </w:tcPr>
          <w:p w14:paraId="63DE3421">
            <w:pPr>
              <w:widowControl/>
              <w:spacing w:line="240" w:lineRule="atLeast"/>
              <w:ind w:firstLine="0" w:firstLineChars="0"/>
              <w:jc w:val="center"/>
              <w:rPr>
                <w:sz w:val="21"/>
                <w:szCs w:val="21"/>
                <w:lang w:bidi="ar"/>
              </w:rPr>
            </w:pPr>
            <w:r>
              <w:rPr>
                <w:sz w:val="21"/>
                <w:szCs w:val="21"/>
                <w:lang w:bidi="ar"/>
              </w:rPr>
              <w:t>2020.9</w:t>
            </w:r>
          </w:p>
        </w:tc>
      </w:tr>
      <w:tr w14:paraId="0826D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520" w:type="dxa"/>
            <w:vMerge w:val="restart"/>
            <w:vAlign w:val="center"/>
          </w:tcPr>
          <w:p w14:paraId="5B06F6FE">
            <w:pPr>
              <w:widowControl/>
              <w:spacing w:line="240" w:lineRule="atLeast"/>
              <w:ind w:firstLine="0" w:firstLineChars="0"/>
              <w:jc w:val="center"/>
              <w:rPr>
                <w:sz w:val="21"/>
                <w:szCs w:val="21"/>
                <w:lang w:bidi="ar"/>
              </w:rPr>
            </w:pPr>
            <w:r>
              <w:rPr>
                <w:sz w:val="21"/>
                <w:szCs w:val="21"/>
                <w:lang w:bidi="ar"/>
              </w:rPr>
              <w:t>山东</w:t>
            </w:r>
          </w:p>
        </w:tc>
        <w:tc>
          <w:tcPr>
            <w:tcW w:w="684" w:type="dxa"/>
            <w:vAlign w:val="center"/>
          </w:tcPr>
          <w:p w14:paraId="353E4378">
            <w:pPr>
              <w:widowControl/>
              <w:spacing w:line="240" w:lineRule="atLeast"/>
              <w:ind w:firstLine="0" w:firstLineChars="0"/>
              <w:jc w:val="center"/>
              <w:rPr>
                <w:sz w:val="21"/>
                <w:szCs w:val="21"/>
                <w:lang w:bidi="ar"/>
              </w:rPr>
            </w:pPr>
            <w:r>
              <w:rPr>
                <w:sz w:val="21"/>
                <w:szCs w:val="21"/>
                <w:lang w:bidi="ar"/>
              </w:rPr>
              <w:t>20</w:t>
            </w:r>
          </w:p>
        </w:tc>
        <w:tc>
          <w:tcPr>
            <w:tcW w:w="5766" w:type="dxa"/>
            <w:vAlign w:val="center"/>
          </w:tcPr>
          <w:p w14:paraId="30AF1A3A">
            <w:pPr>
              <w:widowControl/>
              <w:spacing w:line="240" w:lineRule="atLeast"/>
              <w:ind w:firstLine="0" w:firstLineChars="0"/>
              <w:jc w:val="center"/>
              <w:rPr>
                <w:sz w:val="21"/>
                <w:szCs w:val="21"/>
                <w:lang w:bidi="ar"/>
              </w:rPr>
            </w:pPr>
            <w:r>
              <w:rPr>
                <w:rFonts w:hint="eastAsia"/>
                <w:sz w:val="21"/>
                <w:szCs w:val="21"/>
                <w:lang w:bidi="ar"/>
              </w:rPr>
              <w:t>《企业污染治理技术规范彩涂板行业（征求意见稿）》</w:t>
            </w:r>
          </w:p>
        </w:tc>
        <w:tc>
          <w:tcPr>
            <w:tcW w:w="1429" w:type="dxa"/>
            <w:vAlign w:val="center"/>
          </w:tcPr>
          <w:p w14:paraId="488DEF6C">
            <w:pPr>
              <w:widowControl/>
              <w:spacing w:line="240" w:lineRule="atLeast"/>
              <w:ind w:firstLine="0" w:firstLineChars="0"/>
              <w:jc w:val="center"/>
              <w:rPr>
                <w:sz w:val="21"/>
                <w:szCs w:val="21"/>
                <w:lang w:bidi="ar"/>
              </w:rPr>
            </w:pPr>
            <w:r>
              <w:rPr>
                <w:sz w:val="21"/>
                <w:szCs w:val="21"/>
                <w:lang w:bidi="ar"/>
              </w:rPr>
              <w:t>征求稿</w:t>
            </w:r>
          </w:p>
        </w:tc>
      </w:tr>
      <w:tr w14:paraId="25A3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20" w:type="dxa"/>
            <w:vMerge w:val="continue"/>
            <w:vAlign w:val="center"/>
          </w:tcPr>
          <w:p w14:paraId="565CB07F">
            <w:pPr>
              <w:widowControl/>
              <w:spacing w:line="240" w:lineRule="atLeast"/>
              <w:ind w:firstLine="0" w:firstLineChars="0"/>
              <w:jc w:val="center"/>
              <w:rPr>
                <w:sz w:val="21"/>
                <w:szCs w:val="21"/>
                <w:lang w:bidi="ar"/>
              </w:rPr>
            </w:pPr>
          </w:p>
        </w:tc>
        <w:tc>
          <w:tcPr>
            <w:tcW w:w="684" w:type="dxa"/>
            <w:vAlign w:val="center"/>
          </w:tcPr>
          <w:p w14:paraId="3CEBCFA7">
            <w:pPr>
              <w:widowControl/>
              <w:spacing w:line="240" w:lineRule="atLeast"/>
              <w:ind w:firstLine="0" w:firstLineChars="0"/>
              <w:jc w:val="center"/>
              <w:rPr>
                <w:sz w:val="21"/>
                <w:szCs w:val="21"/>
                <w:lang w:bidi="ar"/>
              </w:rPr>
            </w:pPr>
            <w:r>
              <w:rPr>
                <w:sz w:val="21"/>
                <w:szCs w:val="21"/>
                <w:lang w:bidi="ar"/>
              </w:rPr>
              <w:t>21</w:t>
            </w:r>
          </w:p>
        </w:tc>
        <w:tc>
          <w:tcPr>
            <w:tcW w:w="5766" w:type="dxa"/>
            <w:vAlign w:val="center"/>
          </w:tcPr>
          <w:p w14:paraId="3D8A1980">
            <w:pPr>
              <w:widowControl/>
              <w:spacing w:line="240" w:lineRule="atLeast"/>
              <w:ind w:firstLine="0" w:firstLineChars="0"/>
              <w:jc w:val="center"/>
              <w:rPr>
                <w:sz w:val="21"/>
                <w:szCs w:val="21"/>
                <w:lang w:bidi="ar"/>
              </w:rPr>
            </w:pPr>
            <w:r>
              <w:rPr>
                <w:rStyle w:val="23"/>
                <w:rFonts w:hint="eastAsia"/>
                <w:b w:val="0"/>
                <w:bCs w:val="0"/>
                <w:spacing w:val="23"/>
                <w:sz w:val="21"/>
                <w:szCs w:val="21"/>
                <w:shd w:val="clear" w:color="auto" w:fill="FFFFFF"/>
                <w:lang w:bidi="ar"/>
              </w:rPr>
              <w:t>山东省挥发性有机物（VOCs）污染防治技术及典型案例汇编</w:t>
            </w:r>
          </w:p>
        </w:tc>
        <w:tc>
          <w:tcPr>
            <w:tcW w:w="1429" w:type="dxa"/>
            <w:vAlign w:val="center"/>
          </w:tcPr>
          <w:p w14:paraId="7601298D">
            <w:pPr>
              <w:widowControl/>
              <w:spacing w:line="240" w:lineRule="atLeast"/>
              <w:ind w:firstLine="0" w:firstLineChars="0"/>
              <w:jc w:val="center"/>
              <w:rPr>
                <w:sz w:val="21"/>
                <w:szCs w:val="21"/>
                <w:lang w:bidi="ar"/>
              </w:rPr>
            </w:pPr>
            <w:r>
              <w:rPr>
                <w:sz w:val="21"/>
                <w:szCs w:val="21"/>
                <w:lang w:bidi="ar"/>
              </w:rPr>
              <w:t>2020.6</w:t>
            </w:r>
          </w:p>
        </w:tc>
      </w:tr>
      <w:tr w14:paraId="10CFC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520" w:type="dxa"/>
            <w:vMerge w:val="restart"/>
            <w:vAlign w:val="center"/>
          </w:tcPr>
          <w:p w14:paraId="1D1C3D70">
            <w:pPr>
              <w:widowControl/>
              <w:spacing w:line="240" w:lineRule="atLeast"/>
              <w:ind w:firstLine="0" w:firstLineChars="0"/>
              <w:jc w:val="center"/>
              <w:rPr>
                <w:sz w:val="21"/>
                <w:szCs w:val="21"/>
                <w:lang w:bidi="ar"/>
              </w:rPr>
            </w:pPr>
            <w:r>
              <w:rPr>
                <w:sz w:val="21"/>
                <w:szCs w:val="21"/>
                <w:lang w:bidi="ar"/>
              </w:rPr>
              <w:t>上海</w:t>
            </w:r>
          </w:p>
        </w:tc>
        <w:tc>
          <w:tcPr>
            <w:tcW w:w="684" w:type="dxa"/>
            <w:vAlign w:val="center"/>
          </w:tcPr>
          <w:p w14:paraId="5F6DB738">
            <w:pPr>
              <w:widowControl/>
              <w:spacing w:line="240" w:lineRule="atLeast"/>
              <w:ind w:firstLine="0" w:firstLineChars="0"/>
              <w:jc w:val="center"/>
              <w:rPr>
                <w:sz w:val="21"/>
                <w:szCs w:val="21"/>
                <w:lang w:bidi="ar"/>
              </w:rPr>
            </w:pPr>
            <w:r>
              <w:rPr>
                <w:sz w:val="21"/>
                <w:szCs w:val="21"/>
                <w:lang w:bidi="ar"/>
              </w:rPr>
              <w:t>22</w:t>
            </w:r>
          </w:p>
        </w:tc>
        <w:tc>
          <w:tcPr>
            <w:tcW w:w="5766" w:type="dxa"/>
            <w:vAlign w:val="center"/>
          </w:tcPr>
          <w:p w14:paraId="0F1ACEC4">
            <w:pPr>
              <w:widowControl/>
              <w:spacing w:line="240" w:lineRule="atLeast"/>
              <w:ind w:firstLine="0" w:firstLineChars="0"/>
              <w:jc w:val="center"/>
              <w:rPr>
                <w:sz w:val="21"/>
                <w:szCs w:val="21"/>
                <w:lang w:bidi="ar"/>
              </w:rPr>
            </w:pPr>
            <w:r>
              <w:rPr>
                <w:rFonts w:hint="eastAsia"/>
                <w:sz w:val="21"/>
                <w:szCs w:val="21"/>
                <w:lang w:bidi="ar"/>
              </w:rPr>
              <w:t>《上海市船舶工业涂装过程</w:t>
            </w:r>
            <w:r>
              <w:fldChar w:fldCharType="begin"/>
            </w:r>
            <w:r>
              <w:instrText xml:space="preserve"> HYPERLINK "https://huanbao.bjx.com.cn/topics/huifaxingyoujiwu/" \t "https://huanbao.bjx.com.cn/news/20170110/_blank" </w:instrText>
            </w:r>
            <w:r>
              <w:fldChar w:fldCharType="separate"/>
            </w:r>
            <w:r>
              <w:rPr>
                <w:rStyle w:val="27"/>
                <w:color w:val="auto"/>
                <w:sz w:val="21"/>
                <w:szCs w:val="21"/>
                <w:u w:val="none"/>
                <w:lang w:bidi="ar"/>
              </w:rPr>
              <w:t>挥发性有机物</w:t>
            </w:r>
            <w:r>
              <w:rPr>
                <w:rStyle w:val="27"/>
                <w:color w:val="auto"/>
                <w:sz w:val="21"/>
                <w:szCs w:val="21"/>
                <w:u w:val="none"/>
                <w:lang w:bidi="ar"/>
              </w:rPr>
              <w:fldChar w:fldCharType="end"/>
            </w:r>
            <w:r>
              <w:rPr>
                <w:sz w:val="21"/>
                <w:szCs w:val="21"/>
                <w:lang w:bidi="ar"/>
              </w:rPr>
              <w:t>控制技术指南》</w:t>
            </w:r>
          </w:p>
        </w:tc>
        <w:tc>
          <w:tcPr>
            <w:tcW w:w="1429" w:type="dxa"/>
            <w:vAlign w:val="center"/>
          </w:tcPr>
          <w:p w14:paraId="127AEC81">
            <w:pPr>
              <w:widowControl/>
              <w:spacing w:line="240" w:lineRule="atLeast"/>
              <w:ind w:firstLine="0" w:firstLineChars="0"/>
              <w:jc w:val="center"/>
              <w:rPr>
                <w:sz w:val="21"/>
                <w:szCs w:val="21"/>
                <w:lang w:bidi="ar"/>
              </w:rPr>
            </w:pPr>
            <w:r>
              <w:rPr>
                <w:sz w:val="21"/>
                <w:szCs w:val="21"/>
                <w:lang w:bidi="ar"/>
              </w:rPr>
              <w:t>2016.10</w:t>
            </w:r>
          </w:p>
        </w:tc>
      </w:tr>
      <w:tr w14:paraId="66696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520" w:type="dxa"/>
            <w:vMerge w:val="continue"/>
            <w:vAlign w:val="center"/>
          </w:tcPr>
          <w:p w14:paraId="0DF6CBEB">
            <w:pPr>
              <w:widowControl/>
              <w:spacing w:line="240" w:lineRule="atLeast"/>
              <w:ind w:firstLine="0" w:firstLineChars="0"/>
              <w:jc w:val="center"/>
              <w:rPr>
                <w:sz w:val="21"/>
                <w:szCs w:val="21"/>
                <w:lang w:bidi="ar"/>
              </w:rPr>
            </w:pPr>
          </w:p>
        </w:tc>
        <w:tc>
          <w:tcPr>
            <w:tcW w:w="684" w:type="dxa"/>
            <w:vAlign w:val="center"/>
          </w:tcPr>
          <w:p w14:paraId="4FF9B157">
            <w:pPr>
              <w:widowControl/>
              <w:spacing w:line="240" w:lineRule="atLeast"/>
              <w:ind w:firstLine="0" w:firstLineChars="0"/>
              <w:jc w:val="center"/>
              <w:rPr>
                <w:sz w:val="21"/>
                <w:szCs w:val="21"/>
                <w:lang w:bidi="ar"/>
              </w:rPr>
            </w:pPr>
            <w:r>
              <w:rPr>
                <w:sz w:val="21"/>
                <w:szCs w:val="21"/>
                <w:lang w:bidi="ar"/>
              </w:rPr>
              <w:t>23</w:t>
            </w:r>
          </w:p>
        </w:tc>
        <w:tc>
          <w:tcPr>
            <w:tcW w:w="5766" w:type="dxa"/>
            <w:vAlign w:val="center"/>
          </w:tcPr>
          <w:p w14:paraId="39152E92">
            <w:pPr>
              <w:widowControl/>
              <w:spacing w:line="240" w:lineRule="atLeast"/>
              <w:ind w:firstLine="0" w:firstLineChars="0"/>
              <w:jc w:val="center"/>
              <w:rPr>
                <w:sz w:val="21"/>
                <w:szCs w:val="21"/>
                <w:lang w:bidi="ar"/>
              </w:rPr>
            </w:pPr>
            <w:r>
              <w:rPr>
                <w:rFonts w:hint="eastAsia"/>
                <w:sz w:val="21"/>
                <w:szCs w:val="21"/>
                <w:lang w:bidi="ar"/>
              </w:rPr>
              <w:t>《整车制造业挥发性有机物控制技术指南（试行）》</w:t>
            </w:r>
          </w:p>
        </w:tc>
        <w:tc>
          <w:tcPr>
            <w:tcW w:w="1429" w:type="dxa"/>
            <w:vMerge w:val="restart"/>
            <w:vAlign w:val="center"/>
          </w:tcPr>
          <w:p w14:paraId="7CA87A51">
            <w:pPr>
              <w:widowControl/>
              <w:spacing w:line="240" w:lineRule="atLeast"/>
              <w:ind w:firstLine="0" w:firstLineChars="0"/>
              <w:jc w:val="center"/>
              <w:rPr>
                <w:sz w:val="21"/>
                <w:szCs w:val="21"/>
                <w:lang w:bidi="ar"/>
              </w:rPr>
            </w:pPr>
            <w:r>
              <w:rPr>
                <w:sz w:val="21"/>
                <w:szCs w:val="21"/>
                <w:lang w:bidi="ar"/>
              </w:rPr>
              <w:t>2020.4</w:t>
            </w:r>
          </w:p>
        </w:tc>
      </w:tr>
      <w:tr w14:paraId="15A54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520" w:type="dxa"/>
            <w:vMerge w:val="continue"/>
            <w:vAlign w:val="center"/>
          </w:tcPr>
          <w:p w14:paraId="74F268C1">
            <w:pPr>
              <w:widowControl/>
              <w:spacing w:line="240" w:lineRule="atLeast"/>
              <w:ind w:firstLine="0" w:firstLineChars="0"/>
              <w:jc w:val="center"/>
              <w:rPr>
                <w:sz w:val="21"/>
                <w:szCs w:val="21"/>
                <w:lang w:bidi="ar"/>
              </w:rPr>
            </w:pPr>
          </w:p>
        </w:tc>
        <w:tc>
          <w:tcPr>
            <w:tcW w:w="684" w:type="dxa"/>
            <w:vAlign w:val="center"/>
          </w:tcPr>
          <w:p w14:paraId="12A9B18C">
            <w:pPr>
              <w:widowControl/>
              <w:spacing w:line="240" w:lineRule="atLeast"/>
              <w:ind w:firstLine="0" w:firstLineChars="0"/>
              <w:jc w:val="center"/>
              <w:rPr>
                <w:sz w:val="21"/>
                <w:szCs w:val="21"/>
                <w:lang w:bidi="ar"/>
              </w:rPr>
            </w:pPr>
            <w:r>
              <w:rPr>
                <w:sz w:val="21"/>
                <w:szCs w:val="21"/>
                <w:lang w:bidi="ar"/>
              </w:rPr>
              <w:t>24</w:t>
            </w:r>
          </w:p>
        </w:tc>
        <w:tc>
          <w:tcPr>
            <w:tcW w:w="5766" w:type="dxa"/>
            <w:vAlign w:val="center"/>
          </w:tcPr>
          <w:p w14:paraId="130CFE09">
            <w:pPr>
              <w:widowControl/>
              <w:spacing w:line="240" w:lineRule="atLeast"/>
              <w:ind w:firstLine="0" w:firstLineChars="0"/>
              <w:jc w:val="center"/>
              <w:rPr>
                <w:sz w:val="21"/>
                <w:szCs w:val="21"/>
                <w:lang w:bidi="ar"/>
              </w:rPr>
            </w:pPr>
            <w:r>
              <w:rPr>
                <w:rFonts w:hint="eastAsia"/>
                <w:sz w:val="21"/>
                <w:szCs w:val="21"/>
                <w:lang w:bidi="ar"/>
              </w:rPr>
              <w:t>《汽车零部件制造业（涂装）挥发性有机物控制技术指南（试行）》</w:t>
            </w:r>
          </w:p>
        </w:tc>
        <w:tc>
          <w:tcPr>
            <w:tcW w:w="1429" w:type="dxa"/>
            <w:vMerge w:val="continue"/>
            <w:vAlign w:val="center"/>
          </w:tcPr>
          <w:p w14:paraId="747A5F41">
            <w:pPr>
              <w:widowControl/>
              <w:spacing w:line="240" w:lineRule="atLeast"/>
              <w:ind w:firstLine="0" w:firstLineChars="0"/>
              <w:jc w:val="center"/>
              <w:rPr>
                <w:sz w:val="21"/>
                <w:szCs w:val="21"/>
                <w:lang w:bidi="ar"/>
              </w:rPr>
            </w:pPr>
          </w:p>
        </w:tc>
      </w:tr>
      <w:tr w14:paraId="73904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520" w:type="dxa"/>
            <w:vAlign w:val="center"/>
          </w:tcPr>
          <w:p w14:paraId="00669BA9">
            <w:pPr>
              <w:widowControl/>
              <w:spacing w:line="240" w:lineRule="atLeast"/>
              <w:ind w:firstLine="0" w:firstLineChars="0"/>
              <w:jc w:val="center"/>
              <w:rPr>
                <w:sz w:val="21"/>
                <w:szCs w:val="21"/>
                <w:lang w:bidi="ar"/>
              </w:rPr>
            </w:pPr>
            <w:r>
              <w:rPr>
                <w:sz w:val="21"/>
                <w:szCs w:val="21"/>
                <w:lang w:bidi="ar"/>
              </w:rPr>
              <w:t>江苏</w:t>
            </w:r>
          </w:p>
        </w:tc>
        <w:tc>
          <w:tcPr>
            <w:tcW w:w="684" w:type="dxa"/>
            <w:vAlign w:val="center"/>
          </w:tcPr>
          <w:p w14:paraId="7B6E430F">
            <w:pPr>
              <w:widowControl/>
              <w:spacing w:line="240" w:lineRule="atLeast"/>
              <w:ind w:firstLine="0" w:firstLineChars="0"/>
              <w:jc w:val="center"/>
              <w:rPr>
                <w:sz w:val="21"/>
                <w:szCs w:val="21"/>
                <w:lang w:bidi="ar"/>
              </w:rPr>
            </w:pPr>
            <w:r>
              <w:rPr>
                <w:sz w:val="21"/>
                <w:szCs w:val="21"/>
                <w:lang w:bidi="ar"/>
              </w:rPr>
              <w:t>25</w:t>
            </w:r>
          </w:p>
        </w:tc>
        <w:tc>
          <w:tcPr>
            <w:tcW w:w="5766" w:type="dxa"/>
            <w:vAlign w:val="center"/>
          </w:tcPr>
          <w:p w14:paraId="500F9E25">
            <w:pPr>
              <w:widowControl/>
              <w:spacing w:line="240" w:lineRule="atLeast"/>
              <w:ind w:firstLine="0" w:firstLineChars="0"/>
              <w:jc w:val="center"/>
              <w:rPr>
                <w:sz w:val="21"/>
                <w:szCs w:val="21"/>
                <w:lang w:bidi="ar"/>
              </w:rPr>
            </w:pPr>
            <w:r>
              <w:rPr>
                <w:sz w:val="21"/>
                <w:szCs w:val="21"/>
                <w:lang w:bidi="ar"/>
              </w:rPr>
              <w:t>江苏重点行业</w:t>
            </w:r>
            <w:r>
              <w:fldChar w:fldCharType="begin"/>
            </w:r>
            <w:r>
              <w:instrText xml:space="preserve"> HYPERLINK "https://huanbao.bjx.com.cn/topics/huifaxingyoujiwu/" \t "https://huanbao.bjx.com.cn/news/20170110/_blank" </w:instrText>
            </w:r>
            <w:r>
              <w:fldChar w:fldCharType="separate"/>
            </w:r>
            <w:r>
              <w:rPr>
                <w:sz w:val="21"/>
                <w:szCs w:val="21"/>
                <w:lang w:bidi="ar"/>
              </w:rPr>
              <w:t>挥发性有机物</w:t>
            </w:r>
            <w:r>
              <w:rPr>
                <w:sz w:val="21"/>
                <w:szCs w:val="21"/>
                <w:lang w:bidi="ar"/>
              </w:rPr>
              <w:fldChar w:fldCharType="end"/>
            </w:r>
            <w:r>
              <w:rPr>
                <w:sz w:val="21"/>
                <w:szCs w:val="21"/>
                <w:lang w:bidi="ar"/>
              </w:rPr>
              <w:t>控制技术指南</w:t>
            </w:r>
          </w:p>
        </w:tc>
        <w:tc>
          <w:tcPr>
            <w:tcW w:w="1429" w:type="dxa"/>
            <w:vAlign w:val="center"/>
          </w:tcPr>
          <w:p w14:paraId="0232D7DF">
            <w:pPr>
              <w:widowControl/>
              <w:spacing w:line="240" w:lineRule="atLeast"/>
              <w:ind w:firstLine="0" w:firstLineChars="0"/>
              <w:jc w:val="center"/>
              <w:rPr>
                <w:sz w:val="21"/>
                <w:szCs w:val="21"/>
                <w:lang w:bidi="ar"/>
              </w:rPr>
            </w:pPr>
            <w:r>
              <w:rPr>
                <w:sz w:val="21"/>
                <w:szCs w:val="21"/>
                <w:lang w:bidi="ar"/>
              </w:rPr>
              <w:t>2014.6.5</w:t>
            </w:r>
          </w:p>
        </w:tc>
      </w:tr>
    </w:tbl>
    <w:p w14:paraId="00B7CE0B">
      <w:pPr>
        <w:widowControl/>
        <w:ind w:firstLine="480"/>
        <w:jc w:val="left"/>
        <w:rPr>
          <w:lang w:bidi="ar"/>
        </w:rPr>
      </w:pPr>
    </w:p>
    <w:p w14:paraId="26682D13">
      <w:pPr>
        <w:ind w:firstLine="480"/>
      </w:pPr>
    </w:p>
    <w:bookmarkEnd w:id="78"/>
    <w:bookmarkEnd w:id="79"/>
    <w:bookmarkEnd w:id="113"/>
    <w:bookmarkEnd w:id="114"/>
    <w:bookmarkEnd w:id="115"/>
    <w:p w14:paraId="05960AC6">
      <w:pPr>
        <w:pStyle w:val="2"/>
        <w:spacing w:before="0" w:after="0"/>
        <w:jc w:val="center"/>
        <w:rPr>
          <w:szCs w:val="21"/>
        </w:rPr>
      </w:pPr>
      <w:bookmarkStart w:id="175" w:name="_Toc17766"/>
      <w:bookmarkStart w:id="176" w:name="_Toc11893"/>
      <w:bookmarkStart w:id="177" w:name="_Toc30903"/>
      <w:bookmarkStart w:id="178" w:name="_Toc1325"/>
      <w:bookmarkStart w:id="179" w:name="_Toc9494"/>
      <w:bookmarkStart w:id="180" w:name="_Toc12390"/>
      <w:bookmarkStart w:id="181" w:name="_Toc10420"/>
      <w:bookmarkStart w:id="182" w:name="_Toc16022"/>
      <w:bookmarkStart w:id="183" w:name="_Toc20678"/>
      <w:bookmarkStart w:id="184" w:name="_Toc1222"/>
      <w:bookmarkStart w:id="185" w:name="_Toc30446"/>
      <w:bookmarkStart w:id="186" w:name="_Toc525723216"/>
      <w:bookmarkStart w:id="187" w:name="_Toc12518"/>
      <w:bookmarkStart w:id="188" w:name="_Toc7760"/>
      <w:r>
        <w:rPr>
          <w:szCs w:val="21"/>
        </w:rPr>
        <w:t>5标准编制总体思路及技术路线</w:t>
      </w:r>
      <w:bookmarkEnd w:id="175"/>
      <w:bookmarkEnd w:id="176"/>
      <w:bookmarkEnd w:id="177"/>
      <w:bookmarkEnd w:id="178"/>
      <w:bookmarkEnd w:id="179"/>
      <w:bookmarkEnd w:id="180"/>
      <w:bookmarkEnd w:id="181"/>
      <w:bookmarkEnd w:id="182"/>
      <w:bookmarkEnd w:id="183"/>
      <w:bookmarkEnd w:id="184"/>
    </w:p>
    <w:p w14:paraId="6827F6E0">
      <w:pPr>
        <w:pStyle w:val="3"/>
        <w:spacing w:before="0" w:after="0"/>
        <w:rPr>
          <w:rFonts w:ascii="Times New Roman" w:hAnsi="Times New Roman"/>
        </w:rPr>
      </w:pPr>
      <w:bookmarkStart w:id="189" w:name="_Toc16959"/>
      <w:bookmarkStart w:id="190" w:name="_Toc25443"/>
      <w:bookmarkStart w:id="191" w:name="_Toc6331"/>
      <w:bookmarkStart w:id="192" w:name="_Toc27421"/>
      <w:bookmarkStart w:id="193" w:name="_Toc16738"/>
      <w:bookmarkStart w:id="194" w:name="_Toc19181"/>
      <w:bookmarkStart w:id="195" w:name="_Toc5825"/>
      <w:bookmarkStart w:id="196" w:name="_Toc5595"/>
      <w:bookmarkStart w:id="197" w:name="_Toc10030"/>
      <w:r>
        <w:rPr>
          <w:rFonts w:ascii="Times New Roman" w:hAnsi="Times New Roman"/>
        </w:rPr>
        <w:t>5.1标准编制总体思路</w:t>
      </w:r>
      <w:bookmarkEnd w:id="189"/>
      <w:bookmarkEnd w:id="190"/>
      <w:bookmarkEnd w:id="191"/>
      <w:bookmarkEnd w:id="192"/>
      <w:bookmarkEnd w:id="193"/>
      <w:bookmarkEnd w:id="194"/>
      <w:bookmarkEnd w:id="195"/>
      <w:bookmarkEnd w:id="196"/>
      <w:bookmarkEnd w:id="197"/>
    </w:p>
    <w:p w14:paraId="6036E69F">
      <w:pPr>
        <w:keepNext/>
        <w:keepLines/>
        <w:ind w:firstLine="480"/>
        <w:rPr>
          <w:lang w:bidi="ar"/>
        </w:rPr>
      </w:pPr>
      <w:r>
        <w:rPr>
          <w:lang w:bidi="ar"/>
        </w:rPr>
        <w:t>按照</w:t>
      </w:r>
      <w:r>
        <w:rPr>
          <w:shd w:val="clear" w:color="auto" w:fill="FFFFFF"/>
          <w:lang w:bidi="ar"/>
        </w:rPr>
        <w:t>《中华人民共和国标准化法</w:t>
      </w:r>
      <w:r>
        <w:rPr>
          <w:rFonts w:hint="eastAsia"/>
          <w:shd w:val="clear" w:color="auto" w:fill="FFFFFF"/>
          <w:lang w:eastAsia="zh-CN" w:bidi="ar"/>
        </w:rPr>
        <w:t>》《</w:t>
      </w:r>
      <w:r>
        <w:rPr>
          <w:lang w:bidi="ar"/>
        </w:rPr>
        <w:t>江西省标准化条例》等文件的要求，通过现场调研、大量企业数据填报分析、文献资料研究、实验测试等多种方式，掌握我省表面涂装行业原辅材料VOCs种类、排放情况、污染情况以及控制技术措施等。</w:t>
      </w:r>
    </w:p>
    <w:p w14:paraId="353A51DB">
      <w:pPr>
        <w:keepNext/>
        <w:keepLines/>
        <w:ind w:firstLine="480"/>
        <w:rPr>
          <w:lang w:bidi="ar"/>
        </w:rPr>
      </w:pPr>
      <w:r>
        <w:rPr>
          <w:lang w:bidi="ar"/>
        </w:rPr>
        <w:t>通过充分研究国家及各省表面涂装行业挥发性有机物污染防治技术要求，参照国内外污染控制经验和技术，并结合当前我省“十四五”大气环境质量管控要求以及我省表面涂装行业挥发性有机物污染控制现状，根据座谈会、评审会等专家提出的意见以及有关单位的反馈意见，在符合国家相关法律和法规的基础上，编制完成《挥发性有机物污染防治技术指南（试行）第1部分：表面涂装行业》文本和编制说明。</w:t>
      </w:r>
    </w:p>
    <w:p w14:paraId="19630E36">
      <w:pPr>
        <w:pStyle w:val="3"/>
        <w:spacing w:before="0" w:after="0"/>
        <w:rPr>
          <w:rFonts w:ascii="Times New Roman" w:hAnsi="Times New Roman"/>
        </w:rPr>
      </w:pPr>
      <w:bookmarkStart w:id="198" w:name="_Toc12009"/>
      <w:bookmarkStart w:id="199" w:name="_Toc23592"/>
      <w:bookmarkStart w:id="200" w:name="_Toc21805"/>
      <w:bookmarkStart w:id="201" w:name="_Toc2385"/>
      <w:bookmarkStart w:id="202" w:name="_Toc17358"/>
      <w:bookmarkStart w:id="203" w:name="_Toc18131"/>
      <w:bookmarkStart w:id="204" w:name="_Toc26385"/>
      <w:bookmarkStart w:id="205" w:name="_Toc4496"/>
      <w:bookmarkStart w:id="206" w:name="_Toc24004"/>
      <w:r>
        <w:rPr>
          <w:rFonts w:ascii="Times New Roman" w:hAnsi="Times New Roman"/>
        </w:rPr>
        <w:t>5.2标准制定原则</w:t>
      </w:r>
      <w:bookmarkEnd w:id="198"/>
      <w:bookmarkEnd w:id="199"/>
      <w:bookmarkEnd w:id="200"/>
      <w:bookmarkEnd w:id="201"/>
      <w:bookmarkEnd w:id="202"/>
      <w:bookmarkEnd w:id="203"/>
      <w:bookmarkEnd w:id="204"/>
      <w:bookmarkEnd w:id="205"/>
      <w:bookmarkEnd w:id="206"/>
    </w:p>
    <w:p w14:paraId="0824E452">
      <w:pPr>
        <w:keepNext/>
        <w:keepLines/>
        <w:widowControl/>
        <w:ind w:firstLine="480"/>
        <w:jc w:val="left"/>
        <w:rPr>
          <w:lang w:bidi="ar"/>
        </w:rPr>
      </w:pPr>
      <w:r>
        <w:rPr>
          <w:lang w:bidi="ar"/>
        </w:rPr>
        <w:t>（1）政策相符性</w:t>
      </w:r>
    </w:p>
    <w:p w14:paraId="0A57C1D5">
      <w:pPr>
        <w:keepNext/>
        <w:keepLines/>
        <w:widowControl/>
        <w:ind w:firstLine="480"/>
        <w:jc w:val="left"/>
        <w:rPr>
          <w:lang w:bidi="ar"/>
        </w:rPr>
      </w:pPr>
      <w:r>
        <w:rPr>
          <w:lang w:bidi="ar"/>
        </w:rPr>
        <w:t>明确标准适用范围，以规范全省表面涂装行业VOCs的污染防治，以有效控制挥发性有机物污染为首要任务，严格遵循国家在政策法律法规等方面发布的技术政策。通过技术指南的实施，为挥发性有机污染物防治提供技术支撑，从而实现空气质量的改善，保障人民群众身体健康。</w:t>
      </w:r>
    </w:p>
    <w:p w14:paraId="63B3CA04">
      <w:pPr>
        <w:keepNext/>
        <w:keepLines/>
        <w:widowControl/>
        <w:ind w:firstLine="480"/>
        <w:jc w:val="left"/>
        <w:rPr>
          <w:lang w:bidi="ar"/>
        </w:rPr>
      </w:pPr>
      <w:r>
        <w:rPr>
          <w:lang w:bidi="ar"/>
        </w:rPr>
        <w:t>（2）全面性</w:t>
      </w:r>
    </w:p>
    <w:p w14:paraId="0359D9CB">
      <w:pPr>
        <w:keepNext/>
        <w:keepLines/>
        <w:widowControl/>
        <w:ind w:firstLine="480"/>
        <w:jc w:val="left"/>
        <w:rPr>
          <w:lang w:bidi="ar"/>
        </w:rPr>
      </w:pPr>
      <w:r>
        <w:rPr>
          <w:lang w:bidi="ar"/>
        </w:rPr>
        <w:t>本标准涵盖表面涂装各个行业，表面涂装企业的原辅材料、涂装工艺及设备选择、过程管理、溶剂运输储存、末端污染防治技术和企业环境管理要求等。</w:t>
      </w:r>
    </w:p>
    <w:p w14:paraId="2904E829">
      <w:pPr>
        <w:keepNext/>
        <w:keepLines/>
        <w:widowControl/>
        <w:ind w:firstLine="480"/>
        <w:jc w:val="left"/>
        <w:rPr>
          <w:lang w:bidi="ar"/>
        </w:rPr>
      </w:pPr>
      <w:r>
        <w:rPr>
          <w:lang w:bidi="ar"/>
        </w:rPr>
        <w:t>（3）实用与经济可行性相结合</w:t>
      </w:r>
    </w:p>
    <w:p w14:paraId="3C4B3533">
      <w:pPr>
        <w:keepNext/>
        <w:keepLines/>
        <w:widowControl/>
        <w:ind w:firstLine="480"/>
        <w:jc w:val="left"/>
        <w:rPr>
          <w:lang w:bidi="ar"/>
        </w:rPr>
      </w:pPr>
      <w:r>
        <w:rPr>
          <w:lang w:bidi="ar"/>
        </w:rPr>
        <w:t>在充分调研国内外VOCs污染防治技术的基础上，借鉴各省份发布实施的技术政策，结合我省实际状况，通过对典型行业的调研，充分考量当前和未来技术水平和经济条件，充分考虑挥发性有机污染物的控制水平、成本和管理水平，确定表面涂装行业的技术指南</w:t>
      </w:r>
    </w:p>
    <w:p w14:paraId="2C44CA3C">
      <w:pPr>
        <w:keepNext/>
        <w:keepLines/>
        <w:widowControl/>
        <w:ind w:firstLine="480"/>
        <w:jc w:val="left"/>
        <w:rPr>
          <w:lang w:bidi="ar"/>
        </w:rPr>
      </w:pPr>
      <w:r>
        <w:rPr>
          <w:lang w:bidi="ar"/>
        </w:rPr>
        <w:t>（4）客观公正性</w:t>
      </w:r>
    </w:p>
    <w:p w14:paraId="660F1811">
      <w:pPr>
        <w:keepNext/>
        <w:keepLines/>
        <w:widowControl/>
        <w:ind w:firstLine="480"/>
        <w:jc w:val="left"/>
        <w:rPr>
          <w:lang w:bidi="ar"/>
        </w:rPr>
      </w:pPr>
      <w:r>
        <w:rPr>
          <w:lang w:bidi="ar"/>
        </w:rPr>
        <w:t>本标准编制过程严格按照《中华人民共和国标准化法</w:t>
      </w:r>
      <w:r>
        <w:rPr>
          <w:rFonts w:hint="eastAsia"/>
          <w:lang w:eastAsia="zh-CN" w:bidi="ar"/>
        </w:rPr>
        <w:t>》《</w:t>
      </w:r>
      <w:r>
        <w:rPr>
          <w:lang w:bidi="ar"/>
        </w:rPr>
        <w:t>江西省标准化条例》等文件要求执行，遵循公开、公平、公正的原则。</w:t>
      </w:r>
    </w:p>
    <w:p w14:paraId="6C1B2DD3">
      <w:pPr>
        <w:pStyle w:val="3"/>
        <w:spacing w:before="0" w:after="0"/>
        <w:rPr>
          <w:rFonts w:ascii="Times New Roman" w:hAnsi="Times New Roman"/>
        </w:rPr>
      </w:pPr>
      <w:bookmarkStart w:id="207" w:name="_Toc10665"/>
      <w:bookmarkStart w:id="208" w:name="_Toc29127"/>
      <w:bookmarkStart w:id="209" w:name="_Toc131"/>
      <w:bookmarkStart w:id="210" w:name="_Toc9483"/>
      <w:bookmarkStart w:id="211" w:name="_Toc10625"/>
      <w:bookmarkStart w:id="212" w:name="_Toc29808"/>
      <w:bookmarkStart w:id="213" w:name="_Toc23547"/>
      <w:bookmarkStart w:id="214" w:name="_Toc22064"/>
      <w:bookmarkStart w:id="215" w:name="_Toc15577"/>
      <w:r>
        <w:rPr>
          <w:rFonts w:ascii="Times New Roman" w:hAnsi="Times New Roman"/>
        </w:rPr>
        <w:t>5.3标准编制技术路线</w:t>
      </w:r>
      <w:bookmarkEnd w:id="207"/>
      <w:bookmarkEnd w:id="208"/>
      <w:bookmarkEnd w:id="209"/>
      <w:bookmarkEnd w:id="210"/>
      <w:bookmarkEnd w:id="211"/>
      <w:bookmarkEnd w:id="212"/>
      <w:bookmarkEnd w:id="213"/>
      <w:bookmarkEnd w:id="214"/>
      <w:bookmarkEnd w:id="215"/>
    </w:p>
    <w:p w14:paraId="69B9D5D6">
      <w:pPr>
        <w:ind w:firstLine="480"/>
        <w:rPr>
          <w:szCs w:val="32"/>
        </w:rPr>
      </w:pPr>
      <w:r>
        <w:drawing>
          <wp:anchor distT="0" distB="0" distL="114300" distR="114300" simplePos="0" relativeHeight="251662336" behindDoc="0" locked="0" layoutInCell="1" allowOverlap="1">
            <wp:simplePos x="0" y="0"/>
            <wp:positionH relativeFrom="column">
              <wp:posOffset>-68580</wp:posOffset>
            </wp:positionH>
            <wp:positionV relativeFrom="paragraph">
              <wp:posOffset>229235</wp:posOffset>
            </wp:positionV>
            <wp:extent cx="5466715" cy="6523355"/>
            <wp:effectExtent l="0" t="0" r="635" b="10795"/>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5466715" cy="6523355"/>
                    </a:xfrm>
                    <a:prstGeom prst="rect">
                      <a:avLst/>
                    </a:prstGeom>
                    <a:noFill/>
                    <a:ln>
                      <a:noFill/>
                    </a:ln>
                  </pic:spPr>
                </pic:pic>
              </a:graphicData>
            </a:graphic>
          </wp:anchor>
        </w:drawing>
      </w:r>
      <w:r>
        <w:rPr>
          <w:szCs w:val="32"/>
        </w:rPr>
        <w:t>本技术指南的研究路线见下图5.3-1。</w:t>
      </w:r>
    </w:p>
    <w:p w14:paraId="194D5906">
      <w:pPr>
        <w:ind w:firstLine="480"/>
      </w:pPr>
    </w:p>
    <w:p w14:paraId="475CEC55">
      <w:pPr>
        <w:ind w:firstLine="480"/>
      </w:pPr>
    </w:p>
    <w:p w14:paraId="52E358B6">
      <w:pPr>
        <w:ind w:firstLine="480"/>
      </w:pPr>
    </w:p>
    <w:p w14:paraId="76CF242B">
      <w:pPr>
        <w:ind w:firstLine="480"/>
      </w:pPr>
    </w:p>
    <w:p w14:paraId="03AB6E9A">
      <w:pPr>
        <w:ind w:firstLine="480"/>
      </w:pPr>
    </w:p>
    <w:p w14:paraId="62BEA97D">
      <w:pPr>
        <w:ind w:firstLine="480"/>
      </w:pPr>
    </w:p>
    <w:p w14:paraId="47790C4F">
      <w:pPr>
        <w:ind w:firstLine="480"/>
      </w:pPr>
    </w:p>
    <w:p w14:paraId="09D9FBC2">
      <w:pPr>
        <w:ind w:firstLine="480"/>
      </w:pPr>
    </w:p>
    <w:p w14:paraId="0A9BF8C7">
      <w:pPr>
        <w:ind w:firstLine="480"/>
      </w:pPr>
    </w:p>
    <w:p w14:paraId="1CA39FB8">
      <w:pPr>
        <w:ind w:firstLine="480"/>
      </w:pPr>
    </w:p>
    <w:p w14:paraId="4C331CE0">
      <w:pPr>
        <w:ind w:firstLine="480"/>
      </w:pPr>
    </w:p>
    <w:p w14:paraId="5FE79EB5">
      <w:pPr>
        <w:ind w:firstLine="480"/>
      </w:pPr>
    </w:p>
    <w:p w14:paraId="53C05DB8">
      <w:pPr>
        <w:ind w:firstLine="480"/>
      </w:pPr>
    </w:p>
    <w:p w14:paraId="15D83F20">
      <w:pPr>
        <w:ind w:firstLine="480"/>
      </w:pPr>
    </w:p>
    <w:p w14:paraId="23FA7BF4">
      <w:pPr>
        <w:ind w:firstLine="480"/>
      </w:pPr>
    </w:p>
    <w:p w14:paraId="5B720480">
      <w:pPr>
        <w:ind w:firstLine="480"/>
      </w:pPr>
    </w:p>
    <w:p w14:paraId="40237991">
      <w:pPr>
        <w:ind w:firstLine="480"/>
      </w:pPr>
    </w:p>
    <w:p w14:paraId="2BFB8C10">
      <w:pPr>
        <w:ind w:firstLine="480"/>
      </w:pPr>
    </w:p>
    <w:p w14:paraId="6C391A3A">
      <w:pPr>
        <w:ind w:firstLine="480"/>
      </w:pPr>
    </w:p>
    <w:p w14:paraId="65B009CC">
      <w:pPr>
        <w:ind w:firstLine="480"/>
      </w:pPr>
    </w:p>
    <w:p w14:paraId="2D74B226">
      <w:pPr>
        <w:ind w:firstLine="480"/>
      </w:pPr>
    </w:p>
    <w:p w14:paraId="70E329E1">
      <w:pPr>
        <w:ind w:firstLine="480"/>
      </w:pPr>
    </w:p>
    <w:p w14:paraId="55CA80EB">
      <w:pPr>
        <w:ind w:firstLine="480"/>
      </w:pPr>
    </w:p>
    <w:p w14:paraId="79BADFDB">
      <w:pPr>
        <w:widowControl/>
        <w:spacing w:line="240" w:lineRule="atLeast"/>
        <w:ind w:firstLine="3132" w:firstLineChars="1300"/>
        <w:rPr>
          <w:b/>
          <w:bCs/>
          <w:lang w:bidi="ar"/>
        </w:rPr>
      </w:pPr>
    </w:p>
    <w:p w14:paraId="112AD25E">
      <w:pPr>
        <w:widowControl/>
        <w:spacing w:line="240" w:lineRule="atLeast"/>
        <w:ind w:firstLine="3132" w:firstLineChars="1300"/>
        <w:rPr>
          <w:b/>
          <w:bCs/>
          <w:lang w:bidi="ar"/>
        </w:rPr>
      </w:pPr>
    </w:p>
    <w:p w14:paraId="32D512BA">
      <w:pPr>
        <w:widowControl/>
        <w:spacing w:line="240" w:lineRule="atLeast"/>
        <w:ind w:firstLine="0" w:firstLineChars="0"/>
        <w:rPr>
          <w:b/>
          <w:bCs/>
          <w:lang w:bidi="ar"/>
        </w:rPr>
      </w:pPr>
    </w:p>
    <w:p w14:paraId="333C345A">
      <w:pPr>
        <w:widowControl/>
        <w:spacing w:line="240" w:lineRule="atLeast"/>
        <w:ind w:firstLine="3132" w:firstLineChars="1300"/>
        <w:rPr>
          <w:b/>
          <w:bCs/>
          <w:lang w:bidi="ar"/>
        </w:rPr>
      </w:pPr>
      <w:r>
        <w:rPr>
          <w:b/>
          <w:bCs/>
          <w:lang w:bidi="ar"/>
        </w:rPr>
        <w:t>图5.3-1  技术路线图</w:t>
      </w:r>
    </w:p>
    <w:p w14:paraId="27B11ED0">
      <w:pPr>
        <w:widowControl/>
        <w:spacing w:line="240" w:lineRule="atLeast"/>
        <w:ind w:firstLine="3132" w:firstLineChars="1300"/>
        <w:rPr>
          <w:b/>
          <w:bCs/>
          <w:lang w:bidi="ar"/>
        </w:rPr>
      </w:pPr>
    </w:p>
    <w:p w14:paraId="50F7DB4B">
      <w:pPr>
        <w:widowControl/>
        <w:spacing w:line="240" w:lineRule="atLeast"/>
        <w:ind w:firstLine="3132" w:firstLineChars="1300"/>
        <w:rPr>
          <w:b/>
          <w:bCs/>
          <w:lang w:bidi="ar"/>
        </w:rPr>
      </w:pPr>
    </w:p>
    <w:p w14:paraId="4FA49BE5">
      <w:pPr>
        <w:widowControl/>
        <w:spacing w:line="240" w:lineRule="atLeast"/>
        <w:ind w:firstLine="3132" w:firstLineChars="1300"/>
        <w:rPr>
          <w:b/>
          <w:bCs/>
          <w:lang w:bidi="ar"/>
        </w:rPr>
      </w:pPr>
    </w:p>
    <w:p w14:paraId="78FD7D40">
      <w:pPr>
        <w:widowControl/>
        <w:spacing w:line="240" w:lineRule="atLeast"/>
        <w:ind w:firstLine="3132" w:firstLineChars="1300"/>
        <w:rPr>
          <w:b/>
          <w:bCs/>
          <w:lang w:bidi="ar"/>
        </w:rPr>
      </w:pPr>
    </w:p>
    <w:p w14:paraId="2FBAF105">
      <w:pPr>
        <w:widowControl/>
        <w:spacing w:line="240" w:lineRule="atLeast"/>
        <w:ind w:firstLine="3132" w:firstLineChars="1300"/>
        <w:rPr>
          <w:b/>
          <w:bCs/>
          <w:lang w:bidi="ar"/>
        </w:rPr>
      </w:pPr>
    </w:p>
    <w:bookmarkEnd w:id="185"/>
    <w:bookmarkEnd w:id="186"/>
    <w:bookmarkEnd w:id="187"/>
    <w:bookmarkEnd w:id="188"/>
    <w:p w14:paraId="5D99A67E">
      <w:pPr>
        <w:pStyle w:val="2"/>
        <w:spacing w:before="0" w:after="0"/>
        <w:jc w:val="center"/>
        <w:rPr>
          <w:szCs w:val="21"/>
        </w:rPr>
      </w:pPr>
      <w:bookmarkStart w:id="216" w:name="_Toc16295"/>
      <w:bookmarkStart w:id="217" w:name="_Toc23837"/>
      <w:bookmarkStart w:id="218" w:name="_Toc16416"/>
      <w:bookmarkStart w:id="219" w:name="_Toc8325"/>
      <w:bookmarkStart w:id="220" w:name="_Toc525723231"/>
      <w:bookmarkStart w:id="221" w:name="_Toc2046"/>
      <w:bookmarkStart w:id="222" w:name="_Toc30212"/>
      <w:bookmarkStart w:id="223" w:name="_Toc7529"/>
      <w:bookmarkStart w:id="224" w:name="_Toc2247"/>
      <w:bookmarkStart w:id="225" w:name="_Toc21288"/>
      <w:bookmarkStart w:id="226" w:name="_Toc26935"/>
      <w:r>
        <w:rPr>
          <w:szCs w:val="21"/>
        </w:rPr>
        <w:t>6标准主要技术内容</w:t>
      </w:r>
      <w:bookmarkEnd w:id="216"/>
      <w:bookmarkEnd w:id="217"/>
      <w:bookmarkEnd w:id="218"/>
      <w:bookmarkEnd w:id="219"/>
      <w:bookmarkEnd w:id="220"/>
      <w:bookmarkEnd w:id="221"/>
      <w:bookmarkEnd w:id="222"/>
      <w:bookmarkEnd w:id="223"/>
      <w:bookmarkEnd w:id="224"/>
      <w:bookmarkEnd w:id="225"/>
      <w:bookmarkEnd w:id="226"/>
    </w:p>
    <w:p w14:paraId="6A95160C">
      <w:pPr>
        <w:pStyle w:val="3"/>
        <w:spacing w:before="0" w:after="0"/>
        <w:rPr>
          <w:rFonts w:ascii="Times New Roman" w:hAnsi="Times New Roman"/>
        </w:rPr>
      </w:pPr>
      <w:bookmarkStart w:id="227" w:name="_Toc24354"/>
      <w:bookmarkStart w:id="228" w:name="_Toc19909"/>
      <w:bookmarkStart w:id="229" w:name="_Toc3294"/>
      <w:bookmarkStart w:id="230" w:name="_Toc19153"/>
      <w:bookmarkStart w:id="231" w:name="_Toc28682"/>
      <w:bookmarkStart w:id="232" w:name="_Toc8183"/>
      <w:bookmarkStart w:id="233" w:name="_Toc13382"/>
      <w:bookmarkStart w:id="234" w:name="_Toc10143"/>
      <w:bookmarkStart w:id="235" w:name="_Toc11364"/>
      <w:bookmarkStart w:id="236" w:name="_Toc7769"/>
      <w:bookmarkStart w:id="237" w:name="_Toc525723232"/>
      <w:r>
        <w:rPr>
          <w:rFonts w:ascii="Times New Roman" w:hAnsi="Times New Roman"/>
        </w:rPr>
        <w:t>6.1适用范围</w:t>
      </w:r>
      <w:bookmarkEnd w:id="227"/>
      <w:bookmarkEnd w:id="228"/>
      <w:bookmarkEnd w:id="229"/>
      <w:bookmarkEnd w:id="230"/>
      <w:bookmarkEnd w:id="231"/>
      <w:bookmarkEnd w:id="232"/>
      <w:bookmarkEnd w:id="233"/>
      <w:bookmarkEnd w:id="234"/>
      <w:bookmarkEnd w:id="235"/>
      <w:bookmarkEnd w:id="236"/>
      <w:bookmarkEnd w:id="237"/>
    </w:p>
    <w:p w14:paraId="747BC83C">
      <w:pPr>
        <w:ind w:firstLine="720" w:firstLineChars="300"/>
        <w:rPr>
          <w:sz w:val="28"/>
          <w:szCs w:val="24"/>
        </w:rPr>
      </w:pPr>
      <w:r>
        <w:rPr>
          <w:rFonts w:hint="eastAsia"/>
        </w:rPr>
        <w:t>本指南主要适用于表面涂装行业，主要包括《国民经济行业分类》（</w:t>
      </w:r>
      <w:r>
        <w:t>GB/T4754-2017</w:t>
      </w:r>
      <w:r>
        <w:rPr>
          <w:rFonts w:hint="eastAsia"/>
        </w:rPr>
        <w:t>）中：家具制造业（</w:t>
      </w:r>
      <w:r>
        <w:t>C21</w:t>
      </w:r>
      <w:r>
        <w:rPr>
          <w:rFonts w:hint="eastAsia"/>
        </w:rPr>
        <w:t>）、金属制品业（</w:t>
      </w:r>
      <w:r>
        <w:t>C33</w:t>
      </w:r>
      <w:r>
        <w:rPr>
          <w:rFonts w:hint="eastAsia"/>
        </w:rPr>
        <w:t>）、通用设备制造业</w:t>
      </w:r>
      <w:r>
        <w:t>(C34)</w:t>
      </w:r>
      <w:r>
        <w:rPr>
          <w:rFonts w:hint="eastAsia"/>
        </w:rPr>
        <w:t>、专用设备制造业</w:t>
      </w:r>
      <w:r>
        <w:t>(C35)</w:t>
      </w:r>
      <w:r>
        <w:rPr>
          <w:rFonts w:hint="eastAsia"/>
        </w:rPr>
        <w:t>、汽车制造业</w:t>
      </w:r>
      <w:r>
        <w:t>(C36)</w:t>
      </w:r>
      <w:r>
        <w:rPr>
          <w:rFonts w:hint="eastAsia"/>
        </w:rPr>
        <w:t>、铁路、船舶、航空航天和其他运输设备制造业</w:t>
      </w:r>
      <w:r>
        <w:t>(C37)</w:t>
      </w:r>
      <w:r>
        <w:rPr>
          <w:rFonts w:hint="eastAsia"/>
        </w:rPr>
        <w:t>、金属制品、机械和设备修理业（</w:t>
      </w:r>
      <w:r>
        <w:t>C43</w:t>
      </w:r>
      <w:r>
        <w:rPr>
          <w:rFonts w:hint="eastAsia"/>
        </w:rPr>
        <w:t>），其它行业涉及表面涂装工序的可参照执行。</w:t>
      </w:r>
    </w:p>
    <w:p w14:paraId="4BBDABFE">
      <w:pPr>
        <w:pStyle w:val="3"/>
        <w:spacing w:before="0" w:after="0"/>
        <w:rPr>
          <w:rFonts w:ascii="Times New Roman" w:hAnsi="Times New Roman"/>
        </w:rPr>
      </w:pPr>
      <w:bookmarkStart w:id="238" w:name="_Toc14571"/>
      <w:bookmarkStart w:id="239" w:name="_Toc9646"/>
      <w:bookmarkStart w:id="240" w:name="_Toc16962"/>
      <w:bookmarkStart w:id="241" w:name="_Toc525723233"/>
      <w:bookmarkStart w:id="242" w:name="_Toc7440"/>
      <w:bookmarkStart w:id="243" w:name="_Toc30122"/>
      <w:bookmarkStart w:id="244" w:name="_Toc212"/>
      <w:bookmarkStart w:id="245" w:name="_Toc28016"/>
      <w:bookmarkStart w:id="246" w:name="_Toc16937"/>
      <w:bookmarkStart w:id="247" w:name="_Toc3128"/>
      <w:bookmarkStart w:id="248" w:name="_Toc8492"/>
      <w:r>
        <w:rPr>
          <w:rFonts w:ascii="Times New Roman" w:hAnsi="Times New Roman"/>
        </w:rPr>
        <w:t>6.2规范性引用文件</w:t>
      </w:r>
      <w:bookmarkEnd w:id="238"/>
      <w:bookmarkEnd w:id="239"/>
      <w:bookmarkEnd w:id="240"/>
      <w:bookmarkEnd w:id="241"/>
      <w:bookmarkEnd w:id="242"/>
      <w:bookmarkEnd w:id="243"/>
      <w:bookmarkEnd w:id="244"/>
      <w:bookmarkEnd w:id="245"/>
      <w:bookmarkEnd w:id="246"/>
      <w:bookmarkEnd w:id="247"/>
      <w:bookmarkEnd w:id="248"/>
    </w:p>
    <w:p w14:paraId="467C1567">
      <w:pPr>
        <w:pStyle w:val="9"/>
        <w:ind w:firstLine="720" w:firstLineChars="300"/>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本指南引用下列文件或其中的条款。凡是不注日期的引用文件，其有效版本（包括所有的修改单）适用于本指南。</w:t>
      </w:r>
    </w:p>
    <w:p w14:paraId="33552E82">
      <w:pPr>
        <w:pStyle w:val="9"/>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《涂装作业安全规程喷漆室安全技术规定》（</w:t>
      </w:r>
      <w:r>
        <w:rPr>
          <w:rFonts w:ascii="Times New Roman" w:hAnsi="Times New Roman" w:eastAsia="仿宋"/>
          <w:kern w:val="2"/>
          <w:szCs w:val="22"/>
          <w:lang w:eastAsia="zh-CN"/>
        </w:rPr>
        <w:t>GB 14444</w:t>
      </w:r>
      <w:r>
        <w:rPr>
          <w:rFonts w:hint="eastAsia" w:ascii="Times New Roman" w:hAnsi="Times New Roman" w:eastAsia="仿宋"/>
          <w:kern w:val="2"/>
          <w:szCs w:val="22"/>
          <w:lang w:eastAsia="zh-CN"/>
        </w:rPr>
        <w:t>）</w:t>
      </w:r>
    </w:p>
    <w:p w14:paraId="65E5FDCD">
      <w:pPr>
        <w:pStyle w:val="9"/>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《大气污染物综合排放标准》（</w:t>
      </w:r>
      <w:r>
        <w:rPr>
          <w:rFonts w:ascii="Times New Roman" w:hAnsi="Times New Roman" w:eastAsia="仿宋"/>
          <w:kern w:val="2"/>
          <w:szCs w:val="22"/>
          <w:lang w:eastAsia="zh-CN"/>
        </w:rPr>
        <w:t>GB 16297</w:t>
      </w:r>
      <w:r>
        <w:rPr>
          <w:rFonts w:hint="eastAsia" w:ascii="Times New Roman" w:hAnsi="Times New Roman" w:eastAsia="仿宋"/>
          <w:kern w:val="2"/>
          <w:szCs w:val="22"/>
          <w:lang w:eastAsia="zh-CN"/>
        </w:rPr>
        <w:t>）</w:t>
      </w:r>
    </w:p>
    <w:p w14:paraId="434693BD">
      <w:pPr>
        <w:pStyle w:val="9"/>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《挥发性有机物无组织排放控制标准》（</w:t>
      </w:r>
      <w:r>
        <w:rPr>
          <w:rFonts w:ascii="Times New Roman" w:hAnsi="Times New Roman" w:eastAsia="仿宋"/>
          <w:kern w:val="2"/>
          <w:szCs w:val="22"/>
          <w:lang w:eastAsia="zh-CN"/>
        </w:rPr>
        <w:t>GB 37822</w:t>
      </w:r>
      <w:r>
        <w:rPr>
          <w:rFonts w:hint="eastAsia" w:ascii="Times New Roman" w:hAnsi="Times New Roman" w:eastAsia="仿宋"/>
          <w:kern w:val="2"/>
          <w:szCs w:val="22"/>
          <w:lang w:eastAsia="zh-CN"/>
        </w:rPr>
        <w:t>）</w:t>
      </w:r>
    </w:p>
    <w:p w14:paraId="059E9394">
      <w:pPr>
        <w:pStyle w:val="9"/>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《建筑设计防火规范》（</w:t>
      </w:r>
      <w:r>
        <w:rPr>
          <w:rFonts w:ascii="Times New Roman" w:hAnsi="Times New Roman" w:eastAsia="仿宋"/>
          <w:kern w:val="2"/>
          <w:szCs w:val="22"/>
          <w:lang w:eastAsia="zh-CN"/>
        </w:rPr>
        <w:t>GB 50016</w:t>
      </w:r>
      <w:r>
        <w:rPr>
          <w:rFonts w:hint="eastAsia" w:ascii="Times New Roman" w:hAnsi="Times New Roman" w:eastAsia="仿宋"/>
          <w:kern w:val="2"/>
          <w:szCs w:val="22"/>
          <w:lang w:eastAsia="zh-CN"/>
        </w:rPr>
        <w:t>）</w:t>
      </w:r>
    </w:p>
    <w:p w14:paraId="2F90470B">
      <w:pPr>
        <w:pStyle w:val="9"/>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《石油化工企业设计防火规范》（</w:t>
      </w:r>
      <w:r>
        <w:rPr>
          <w:rFonts w:ascii="Times New Roman" w:hAnsi="Times New Roman" w:eastAsia="仿宋"/>
          <w:kern w:val="2"/>
          <w:szCs w:val="22"/>
          <w:lang w:eastAsia="zh-CN"/>
        </w:rPr>
        <w:t>GB 50160</w:t>
      </w:r>
      <w:r>
        <w:rPr>
          <w:rFonts w:hint="eastAsia" w:ascii="Times New Roman" w:hAnsi="Times New Roman" w:eastAsia="仿宋"/>
          <w:kern w:val="2"/>
          <w:szCs w:val="22"/>
          <w:lang w:eastAsia="zh-CN"/>
        </w:rPr>
        <w:t>）</w:t>
      </w:r>
    </w:p>
    <w:p w14:paraId="4D024644">
      <w:pPr>
        <w:pStyle w:val="9"/>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《建筑物防雷设计规范》（</w:t>
      </w:r>
      <w:r>
        <w:rPr>
          <w:rFonts w:ascii="Times New Roman" w:hAnsi="Times New Roman" w:eastAsia="仿宋"/>
          <w:kern w:val="2"/>
          <w:szCs w:val="22"/>
          <w:lang w:eastAsia="zh-CN"/>
        </w:rPr>
        <w:t>GB 50057</w:t>
      </w:r>
      <w:r>
        <w:rPr>
          <w:rFonts w:hint="eastAsia" w:ascii="Times New Roman" w:hAnsi="Times New Roman" w:eastAsia="仿宋"/>
          <w:kern w:val="2"/>
          <w:szCs w:val="22"/>
          <w:lang w:eastAsia="zh-CN"/>
        </w:rPr>
        <w:t>）</w:t>
      </w:r>
    </w:p>
    <w:p w14:paraId="6B4E6D4D">
      <w:pPr>
        <w:pStyle w:val="9"/>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《爆炸危险环境电力装置设计规范》（</w:t>
      </w:r>
      <w:r>
        <w:rPr>
          <w:rFonts w:ascii="Times New Roman" w:hAnsi="Times New Roman" w:eastAsia="仿宋"/>
          <w:kern w:val="2"/>
          <w:szCs w:val="22"/>
          <w:lang w:eastAsia="zh-CN"/>
        </w:rPr>
        <w:t>GB 50058</w:t>
      </w:r>
      <w:r>
        <w:rPr>
          <w:rFonts w:hint="eastAsia" w:ascii="Times New Roman" w:hAnsi="Times New Roman" w:eastAsia="仿宋"/>
          <w:kern w:val="2"/>
          <w:szCs w:val="22"/>
          <w:lang w:eastAsia="zh-CN"/>
        </w:rPr>
        <w:t>）</w:t>
      </w:r>
    </w:p>
    <w:p w14:paraId="3AC41191">
      <w:pPr>
        <w:pStyle w:val="9"/>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《排风罩的分类及技术条件》（</w:t>
      </w:r>
      <w:r>
        <w:rPr>
          <w:rFonts w:ascii="Times New Roman" w:hAnsi="Times New Roman" w:eastAsia="仿宋"/>
          <w:kern w:val="2"/>
          <w:szCs w:val="22"/>
          <w:lang w:eastAsia="zh-CN"/>
        </w:rPr>
        <w:t>GB/T 16758</w:t>
      </w:r>
      <w:r>
        <w:rPr>
          <w:rFonts w:hint="eastAsia" w:ascii="Times New Roman" w:hAnsi="Times New Roman" w:eastAsia="仿宋"/>
          <w:kern w:val="2"/>
          <w:szCs w:val="22"/>
          <w:lang w:eastAsia="zh-CN"/>
        </w:rPr>
        <w:t>）</w:t>
      </w:r>
    </w:p>
    <w:p w14:paraId="0EE2C56A">
      <w:pPr>
        <w:pStyle w:val="9"/>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《与人体接触的消费产品用涂料中特定有害元素限量》（</w:t>
      </w:r>
      <w:r>
        <w:rPr>
          <w:rFonts w:ascii="Times New Roman" w:hAnsi="Times New Roman" w:eastAsia="仿宋"/>
          <w:kern w:val="2"/>
          <w:szCs w:val="22"/>
          <w:lang w:eastAsia="zh-CN"/>
        </w:rPr>
        <w:t>GB/T 23994</w:t>
      </w:r>
      <w:r>
        <w:rPr>
          <w:rFonts w:hint="eastAsia" w:ascii="Times New Roman" w:hAnsi="Times New Roman" w:eastAsia="仿宋"/>
          <w:kern w:val="2"/>
          <w:szCs w:val="22"/>
          <w:lang w:eastAsia="zh-CN"/>
        </w:rPr>
        <w:t>）</w:t>
      </w:r>
    </w:p>
    <w:p w14:paraId="2CBC2FE7">
      <w:pPr>
        <w:pStyle w:val="9"/>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《局部排风设施控制风速检测与评估技术规范》（</w:t>
      </w:r>
      <w:r>
        <w:rPr>
          <w:rFonts w:ascii="Times New Roman" w:hAnsi="Times New Roman" w:eastAsia="仿宋"/>
          <w:kern w:val="2"/>
          <w:szCs w:val="22"/>
          <w:lang w:eastAsia="zh-CN"/>
        </w:rPr>
        <w:t>AQ/T4274</w:t>
      </w:r>
      <w:r>
        <w:rPr>
          <w:rFonts w:hint="eastAsia" w:ascii="Times New Roman" w:hAnsi="Times New Roman" w:eastAsia="仿宋"/>
          <w:kern w:val="2"/>
          <w:szCs w:val="22"/>
          <w:lang w:eastAsia="zh-CN"/>
        </w:rPr>
        <w:t>）</w:t>
      </w:r>
    </w:p>
    <w:p w14:paraId="4A8673D4">
      <w:pPr>
        <w:pStyle w:val="9"/>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《气体参数测量和采样的固定位装置》（</w:t>
      </w:r>
      <w:r>
        <w:rPr>
          <w:rFonts w:ascii="Times New Roman" w:hAnsi="Times New Roman" w:eastAsia="仿宋"/>
          <w:kern w:val="2"/>
          <w:szCs w:val="22"/>
          <w:lang w:eastAsia="zh-CN"/>
        </w:rPr>
        <w:t>HJ/T1</w:t>
      </w:r>
      <w:r>
        <w:rPr>
          <w:rFonts w:hint="eastAsia" w:ascii="Times New Roman" w:hAnsi="Times New Roman" w:eastAsia="仿宋"/>
          <w:kern w:val="2"/>
          <w:szCs w:val="22"/>
          <w:lang w:eastAsia="zh-CN"/>
        </w:rPr>
        <w:t>）</w:t>
      </w:r>
    </w:p>
    <w:p w14:paraId="23166DB9">
      <w:pPr>
        <w:pStyle w:val="9"/>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《环境保护产品技术要求工业废气吸附净化装置》（</w:t>
      </w:r>
      <w:r>
        <w:rPr>
          <w:rFonts w:ascii="Times New Roman" w:hAnsi="Times New Roman" w:eastAsia="仿宋"/>
          <w:kern w:val="2"/>
          <w:szCs w:val="22"/>
          <w:lang w:eastAsia="zh-CN"/>
        </w:rPr>
        <w:t>HJ/T 386</w:t>
      </w:r>
      <w:r>
        <w:rPr>
          <w:rFonts w:hint="eastAsia" w:ascii="Times New Roman" w:hAnsi="Times New Roman" w:eastAsia="仿宋"/>
          <w:kern w:val="2"/>
          <w:szCs w:val="22"/>
          <w:lang w:eastAsia="zh-CN"/>
        </w:rPr>
        <w:t>）</w:t>
      </w:r>
    </w:p>
    <w:p w14:paraId="2E7C26A7">
      <w:pPr>
        <w:pStyle w:val="9"/>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《工业废气吸收处理装置》（</w:t>
      </w:r>
      <w:r>
        <w:rPr>
          <w:rFonts w:ascii="Times New Roman" w:hAnsi="Times New Roman" w:eastAsia="仿宋"/>
          <w:kern w:val="2"/>
          <w:szCs w:val="22"/>
          <w:lang w:eastAsia="zh-CN"/>
        </w:rPr>
        <w:t>HJ/T 387</w:t>
      </w:r>
      <w:r>
        <w:rPr>
          <w:rFonts w:hint="eastAsia" w:ascii="Times New Roman" w:hAnsi="Times New Roman" w:eastAsia="仿宋"/>
          <w:kern w:val="2"/>
          <w:szCs w:val="22"/>
          <w:lang w:eastAsia="zh-CN"/>
        </w:rPr>
        <w:t>）</w:t>
      </w:r>
    </w:p>
    <w:p w14:paraId="6BE3A357">
      <w:pPr>
        <w:pStyle w:val="9"/>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《环境保护产品技术要求工业有机废气催化净化装置》（</w:t>
      </w:r>
      <w:r>
        <w:rPr>
          <w:rFonts w:ascii="Times New Roman" w:hAnsi="Times New Roman" w:eastAsia="仿宋"/>
          <w:kern w:val="2"/>
          <w:szCs w:val="22"/>
          <w:lang w:eastAsia="zh-CN"/>
        </w:rPr>
        <w:t>HJ/T 389</w:t>
      </w:r>
      <w:r>
        <w:rPr>
          <w:rFonts w:hint="eastAsia" w:ascii="Times New Roman" w:hAnsi="Times New Roman" w:eastAsia="仿宋"/>
          <w:kern w:val="2"/>
          <w:szCs w:val="22"/>
          <w:lang w:eastAsia="zh-CN"/>
        </w:rPr>
        <w:t>）</w:t>
      </w:r>
    </w:p>
    <w:p w14:paraId="16FE362C">
      <w:pPr>
        <w:pStyle w:val="9"/>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《固定源废气监测技术规范》（</w:t>
      </w:r>
      <w:r>
        <w:rPr>
          <w:rFonts w:ascii="Times New Roman" w:hAnsi="Times New Roman" w:eastAsia="仿宋"/>
          <w:kern w:val="2"/>
          <w:szCs w:val="22"/>
          <w:lang w:eastAsia="zh-CN"/>
        </w:rPr>
        <w:t>HJ/T 397-2007</w:t>
      </w:r>
      <w:r>
        <w:rPr>
          <w:rFonts w:hint="eastAsia" w:ascii="Times New Roman" w:hAnsi="Times New Roman" w:eastAsia="仿宋"/>
          <w:kern w:val="2"/>
          <w:szCs w:val="22"/>
          <w:lang w:eastAsia="zh-CN"/>
        </w:rPr>
        <w:t>）</w:t>
      </w:r>
    </w:p>
    <w:p w14:paraId="3170E950">
      <w:pPr>
        <w:pStyle w:val="9"/>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《排污单位自行监测技术指南总则》（</w:t>
      </w:r>
      <w:r>
        <w:rPr>
          <w:rFonts w:ascii="Times New Roman" w:hAnsi="Times New Roman" w:eastAsia="仿宋"/>
          <w:kern w:val="2"/>
          <w:szCs w:val="22"/>
          <w:lang w:eastAsia="zh-CN"/>
        </w:rPr>
        <w:t>HJ 819</w:t>
      </w:r>
      <w:r>
        <w:rPr>
          <w:rFonts w:hint="eastAsia" w:ascii="Times New Roman" w:hAnsi="Times New Roman" w:eastAsia="仿宋"/>
          <w:kern w:val="2"/>
          <w:szCs w:val="22"/>
          <w:lang w:eastAsia="zh-CN"/>
        </w:rPr>
        <w:t>）</w:t>
      </w:r>
    </w:p>
    <w:p w14:paraId="53B365CC">
      <w:pPr>
        <w:pStyle w:val="9"/>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《大气污染治理工程技术导则》（</w:t>
      </w:r>
      <w:r>
        <w:rPr>
          <w:rFonts w:ascii="Times New Roman" w:hAnsi="Times New Roman" w:eastAsia="仿宋"/>
          <w:kern w:val="2"/>
          <w:szCs w:val="22"/>
          <w:lang w:eastAsia="zh-CN"/>
        </w:rPr>
        <w:t>HJ 2000-2010</w:t>
      </w:r>
      <w:r>
        <w:rPr>
          <w:rFonts w:hint="eastAsia" w:ascii="Times New Roman" w:hAnsi="Times New Roman" w:eastAsia="仿宋"/>
          <w:kern w:val="2"/>
          <w:szCs w:val="22"/>
          <w:lang w:eastAsia="zh-CN"/>
        </w:rPr>
        <w:t>）</w:t>
      </w:r>
    </w:p>
    <w:p w14:paraId="245524BE">
      <w:pPr>
        <w:pStyle w:val="9"/>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《催化燃烧法工业有机废气治理工程技术规范》（</w:t>
      </w:r>
      <w:r>
        <w:rPr>
          <w:rFonts w:ascii="Times New Roman" w:hAnsi="Times New Roman" w:eastAsia="仿宋"/>
          <w:kern w:val="2"/>
          <w:szCs w:val="22"/>
          <w:lang w:eastAsia="zh-CN"/>
        </w:rPr>
        <w:t>HJ 2027</w:t>
      </w:r>
      <w:r>
        <w:rPr>
          <w:rFonts w:hint="eastAsia" w:ascii="Times New Roman" w:hAnsi="Times New Roman" w:eastAsia="仿宋"/>
          <w:kern w:val="2"/>
          <w:szCs w:val="22"/>
          <w:lang w:eastAsia="zh-CN"/>
        </w:rPr>
        <w:t>）</w:t>
      </w:r>
    </w:p>
    <w:p w14:paraId="716F5A7F">
      <w:pPr>
        <w:pStyle w:val="9"/>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《吸附法工业有机废气治理工程技术规范》（</w:t>
      </w:r>
      <w:r>
        <w:rPr>
          <w:rFonts w:ascii="Times New Roman" w:hAnsi="Times New Roman" w:eastAsia="仿宋"/>
          <w:kern w:val="2"/>
          <w:szCs w:val="22"/>
          <w:lang w:eastAsia="zh-CN"/>
        </w:rPr>
        <w:t>HJ 2026</w:t>
      </w:r>
      <w:r>
        <w:rPr>
          <w:rFonts w:hint="eastAsia" w:ascii="Times New Roman" w:hAnsi="Times New Roman" w:eastAsia="仿宋"/>
          <w:kern w:val="2"/>
          <w:szCs w:val="22"/>
          <w:lang w:eastAsia="zh-CN"/>
        </w:rPr>
        <w:t>）</w:t>
      </w:r>
    </w:p>
    <w:p w14:paraId="57EFB34B">
      <w:pPr>
        <w:pStyle w:val="9"/>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《环境标志产品技术要求水性涂料》（</w:t>
      </w:r>
      <w:r>
        <w:rPr>
          <w:rFonts w:ascii="Times New Roman" w:hAnsi="Times New Roman" w:eastAsia="仿宋"/>
          <w:kern w:val="2"/>
          <w:szCs w:val="22"/>
          <w:lang w:eastAsia="zh-CN"/>
        </w:rPr>
        <w:t>HJ 2537</w:t>
      </w:r>
      <w:r>
        <w:rPr>
          <w:rFonts w:hint="eastAsia" w:ascii="Times New Roman" w:hAnsi="Times New Roman" w:eastAsia="仿宋"/>
          <w:kern w:val="2"/>
          <w:szCs w:val="22"/>
          <w:lang w:eastAsia="zh-CN"/>
        </w:rPr>
        <w:t>）</w:t>
      </w:r>
    </w:p>
    <w:p w14:paraId="21BE3983">
      <w:pPr>
        <w:pStyle w:val="9"/>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《挥发性有机物排放标准第</w:t>
      </w:r>
      <w:r>
        <w:rPr>
          <w:rFonts w:ascii="Times New Roman" w:hAnsi="Times New Roman" w:eastAsia="仿宋"/>
          <w:kern w:val="2"/>
          <w:szCs w:val="22"/>
          <w:lang w:eastAsia="zh-CN"/>
        </w:rPr>
        <w:t>5</w:t>
      </w:r>
      <w:r>
        <w:rPr>
          <w:rFonts w:hint="eastAsia" w:ascii="Times New Roman" w:hAnsi="Times New Roman" w:eastAsia="仿宋"/>
          <w:kern w:val="2"/>
          <w:szCs w:val="22"/>
          <w:lang w:eastAsia="zh-CN"/>
        </w:rPr>
        <w:t>部分：汽车制造业》（</w:t>
      </w:r>
      <w:r>
        <w:rPr>
          <w:rFonts w:ascii="Times New Roman" w:hAnsi="Times New Roman" w:eastAsia="仿宋"/>
          <w:kern w:val="2"/>
          <w:szCs w:val="22"/>
          <w:lang w:eastAsia="zh-CN"/>
        </w:rPr>
        <w:t>DB36 1101.5-2019</w:t>
      </w:r>
      <w:r>
        <w:rPr>
          <w:rFonts w:hint="eastAsia" w:ascii="Times New Roman" w:hAnsi="Times New Roman" w:eastAsia="仿宋"/>
          <w:kern w:val="2"/>
          <w:szCs w:val="22"/>
          <w:lang w:eastAsia="zh-CN"/>
        </w:rPr>
        <w:t>）</w:t>
      </w:r>
    </w:p>
    <w:p w14:paraId="19B11455">
      <w:pPr>
        <w:pStyle w:val="9"/>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《挥发性有机物排放标准第</w:t>
      </w:r>
      <w:r>
        <w:rPr>
          <w:rFonts w:ascii="Times New Roman" w:hAnsi="Times New Roman" w:eastAsia="仿宋"/>
          <w:kern w:val="2"/>
          <w:szCs w:val="22"/>
          <w:lang w:eastAsia="zh-CN"/>
        </w:rPr>
        <w:t>6</w:t>
      </w:r>
      <w:r>
        <w:rPr>
          <w:rFonts w:hint="eastAsia" w:ascii="Times New Roman" w:hAnsi="Times New Roman" w:eastAsia="仿宋"/>
          <w:kern w:val="2"/>
          <w:szCs w:val="22"/>
          <w:lang w:eastAsia="zh-CN"/>
        </w:rPr>
        <w:t>部分：家具制造业》（</w:t>
      </w:r>
      <w:r>
        <w:rPr>
          <w:rFonts w:ascii="Times New Roman" w:hAnsi="Times New Roman" w:eastAsia="仿宋"/>
          <w:kern w:val="2"/>
          <w:szCs w:val="22"/>
          <w:lang w:eastAsia="zh-CN"/>
        </w:rPr>
        <w:t>DB36 1101.6-2019</w:t>
      </w:r>
      <w:r>
        <w:rPr>
          <w:rFonts w:hint="eastAsia" w:ascii="Times New Roman" w:hAnsi="Times New Roman" w:eastAsia="仿宋"/>
          <w:kern w:val="2"/>
          <w:szCs w:val="22"/>
          <w:lang w:eastAsia="zh-CN"/>
        </w:rPr>
        <w:t>）</w:t>
      </w:r>
    </w:p>
    <w:p w14:paraId="0259A1B7">
      <w:pPr>
        <w:pStyle w:val="3"/>
        <w:spacing w:before="0" w:after="0"/>
        <w:rPr>
          <w:rFonts w:ascii="Times New Roman" w:hAnsi="Times New Roman"/>
        </w:rPr>
      </w:pPr>
      <w:bookmarkStart w:id="249" w:name="_Toc525723234"/>
      <w:bookmarkStart w:id="250" w:name="_Toc25006"/>
      <w:bookmarkStart w:id="251" w:name="_Toc14400"/>
      <w:bookmarkStart w:id="252" w:name="_Toc20237"/>
      <w:bookmarkStart w:id="253" w:name="_Toc22621"/>
      <w:bookmarkStart w:id="254" w:name="_Toc1580"/>
      <w:bookmarkStart w:id="255" w:name="_Toc31839"/>
      <w:bookmarkStart w:id="256" w:name="_Toc2705"/>
      <w:bookmarkStart w:id="257" w:name="_Toc20620"/>
      <w:bookmarkStart w:id="258" w:name="_Toc7091"/>
      <w:bookmarkStart w:id="259" w:name="_Toc16269"/>
      <w:r>
        <w:rPr>
          <w:rFonts w:ascii="Times New Roman" w:hAnsi="Times New Roman"/>
          <w:szCs w:val="24"/>
        </w:rPr>
        <w:t>6</w:t>
      </w:r>
      <w:r>
        <w:rPr>
          <w:rFonts w:ascii="Times New Roman" w:hAnsi="Times New Roman"/>
        </w:rPr>
        <w:t>.3术语和定义</w:t>
      </w:r>
      <w:bookmarkEnd w:id="249"/>
      <w:bookmarkEnd w:id="250"/>
      <w:bookmarkEnd w:id="251"/>
      <w:bookmarkEnd w:id="252"/>
      <w:bookmarkEnd w:id="253"/>
      <w:bookmarkEnd w:id="254"/>
      <w:bookmarkEnd w:id="255"/>
      <w:bookmarkEnd w:id="256"/>
      <w:bookmarkEnd w:id="257"/>
      <w:bookmarkEnd w:id="258"/>
      <w:bookmarkEnd w:id="259"/>
    </w:p>
    <w:p w14:paraId="439D9F21">
      <w:pPr>
        <w:pStyle w:val="9"/>
        <w:ind w:firstLine="480"/>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下列术语和定义适用于本标准。</w:t>
      </w:r>
    </w:p>
    <w:p w14:paraId="10EE90EE">
      <w:pPr>
        <w:pStyle w:val="4"/>
        <w:spacing w:before="0" w:after="0"/>
      </w:pPr>
      <w:bookmarkStart w:id="260" w:name="_Toc5488"/>
      <w:bookmarkStart w:id="261" w:name="_Toc1786"/>
      <w:bookmarkStart w:id="262" w:name="_Toc80611438"/>
      <w:bookmarkStart w:id="263" w:name="_Toc32487"/>
      <w:bookmarkStart w:id="264" w:name="_Toc27386"/>
      <w:r>
        <w:t>6.3.1非甲烷总烃（NMHC）</w:t>
      </w:r>
      <w:bookmarkEnd w:id="260"/>
      <w:bookmarkEnd w:id="261"/>
      <w:bookmarkEnd w:id="262"/>
      <w:bookmarkEnd w:id="263"/>
      <w:bookmarkEnd w:id="264"/>
    </w:p>
    <w:p w14:paraId="2B3AC012">
      <w:pPr>
        <w:widowControl/>
        <w:ind w:firstLine="480"/>
      </w:pPr>
      <w:r>
        <w:rPr>
          <w:rFonts w:hint="eastAsia"/>
        </w:rPr>
        <w:t>采用规定的监测方法，氢火焰离子化检测器有响应的除甲烷外的气态有机化合物的总和，以碳的质量浓度计。</w:t>
      </w:r>
    </w:p>
    <w:p w14:paraId="07E74291">
      <w:pPr>
        <w:pStyle w:val="4"/>
        <w:spacing w:before="0" w:after="0"/>
      </w:pPr>
      <w:bookmarkStart w:id="265" w:name="_Toc32618"/>
      <w:bookmarkStart w:id="266" w:name="_Toc1863"/>
      <w:bookmarkStart w:id="267" w:name="_Toc80611439"/>
      <w:bookmarkStart w:id="268" w:name="_Toc2178"/>
      <w:bookmarkStart w:id="269" w:name="_Toc2561"/>
      <w:r>
        <w:t>6.3.2挥发性有机物（VOCs）</w:t>
      </w:r>
      <w:bookmarkEnd w:id="265"/>
      <w:bookmarkEnd w:id="266"/>
      <w:bookmarkEnd w:id="267"/>
      <w:bookmarkEnd w:id="268"/>
      <w:bookmarkEnd w:id="269"/>
    </w:p>
    <w:p w14:paraId="4DF167DA">
      <w:pPr>
        <w:widowControl/>
        <w:ind w:firstLine="480"/>
      </w:pPr>
      <w:r>
        <w:rPr>
          <w:rFonts w:hint="eastAsia"/>
        </w:rPr>
        <w:t>参与大气光化学反应的有机化合物，或者根据相关规定确定的有机化合物。</w:t>
      </w:r>
    </w:p>
    <w:p w14:paraId="4129F25B">
      <w:pPr>
        <w:widowControl/>
        <w:ind w:firstLine="480"/>
      </w:pPr>
      <w:r>
        <w:rPr>
          <w:rFonts w:hint="eastAsia"/>
        </w:rPr>
        <w:t>在表征</w:t>
      </w:r>
      <w:r>
        <w:t>VOCs</w:t>
      </w:r>
      <w:r>
        <w:rPr>
          <w:rFonts w:hint="eastAsia"/>
        </w:rPr>
        <w:t>总体排放情况，根据行业特征和环境管理要求，可采用总挥发性有机物（以</w:t>
      </w:r>
      <w:r>
        <w:t>TVOC</w:t>
      </w:r>
      <w:r>
        <w:rPr>
          <w:rFonts w:hint="eastAsia"/>
        </w:rPr>
        <w:t>表示）、非甲烷总烃（以</w:t>
      </w:r>
      <w:r>
        <w:t>NMHC</w:t>
      </w:r>
      <w:r>
        <w:rPr>
          <w:rFonts w:hint="eastAsia"/>
        </w:rPr>
        <w:t>表示）作为污染物控制项目。</w:t>
      </w:r>
    </w:p>
    <w:p w14:paraId="092EAA11">
      <w:pPr>
        <w:pStyle w:val="4"/>
        <w:spacing w:before="0" w:after="0"/>
      </w:pPr>
      <w:bookmarkStart w:id="270" w:name="_Toc10861"/>
      <w:bookmarkStart w:id="271" w:name="_Toc25980"/>
      <w:bookmarkStart w:id="272" w:name="_Toc12474"/>
      <w:bookmarkStart w:id="273" w:name="_Toc80611441"/>
      <w:bookmarkStart w:id="274" w:name="_Toc1991"/>
      <w:r>
        <w:t>6.3.</w:t>
      </w:r>
      <w:r>
        <w:rPr>
          <w:rFonts w:hint="eastAsia"/>
        </w:rPr>
        <w:t>3</w:t>
      </w:r>
      <w:r>
        <w:t>表面涂装</w:t>
      </w:r>
      <w:bookmarkEnd w:id="270"/>
      <w:bookmarkEnd w:id="271"/>
      <w:bookmarkEnd w:id="272"/>
      <w:bookmarkEnd w:id="273"/>
      <w:bookmarkEnd w:id="274"/>
    </w:p>
    <w:p w14:paraId="5E3F04FC">
      <w:pPr>
        <w:widowControl/>
        <w:ind w:firstLine="480"/>
      </w:pPr>
      <w:r>
        <w:rPr>
          <w:rFonts w:hint="eastAsia"/>
        </w:rPr>
        <w:t>工业生产中将涂料调配、涂覆（含底漆、中涂、面漆、清漆）、流平、烘干等环节的生产工序。</w:t>
      </w:r>
    </w:p>
    <w:p w14:paraId="32AF1F96">
      <w:pPr>
        <w:pStyle w:val="4"/>
        <w:spacing w:before="0" w:after="0"/>
      </w:pPr>
      <w:bookmarkStart w:id="275" w:name="_Toc25711"/>
      <w:bookmarkStart w:id="276" w:name="_Toc25573"/>
      <w:bookmarkStart w:id="277" w:name="_Toc80611442"/>
      <w:bookmarkStart w:id="278" w:name="_Toc2065"/>
      <w:bookmarkStart w:id="279" w:name="_Toc6522"/>
      <w:r>
        <w:t>6.3.</w:t>
      </w:r>
      <w:r>
        <w:rPr>
          <w:rFonts w:hint="eastAsia"/>
        </w:rPr>
        <w:t>4</w:t>
      </w:r>
      <w:r>
        <w:t>粉末涂料</w:t>
      </w:r>
      <w:bookmarkEnd w:id="275"/>
      <w:bookmarkEnd w:id="276"/>
      <w:bookmarkEnd w:id="277"/>
      <w:bookmarkEnd w:id="278"/>
      <w:bookmarkEnd w:id="279"/>
    </w:p>
    <w:p w14:paraId="035B8C2C">
      <w:pPr>
        <w:widowControl/>
        <w:ind w:firstLine="480"/>
        <w:jc w:val="left"/>
      </w:pPr>
      <w:r>
        <w:rPr>
          <w:rFonts w:hint="eastAsia"/>
        </w:rPr>
        <w:t>以固体树脂为基料并结合固化剂、颜料、填料等加工制成的固态可成膜粉末。</w:t>
      </w:r>
    </w:p>
    <w:p w14:paraId="6A1D1CD1">
      <w:pPr>
        <w:pStyle w:val="4"/>
        <w:spacing w:before="0" w:after="0"/>
      </w:pPr>
      <w:bookmarkStart w:id="280" w:name="_Toc402"/>
      <w:bookmarkStart w:id="281" w:name="_Toc17031"/>
      <w:bookmarkStart w:id="282" w:name="_Toc80611443"/>
      <w:bookmarkStart w:id="283" w:name="_Toc24134"/>
      <w:bookmarkStart w:id="284" w:name="_Toc8097"/>
      <w:r>
        <w:t>6.3.</w:t>
      </w:r>
      <w:r>
        <w:rPr>
          <w:rFonts w:hint="eastAsia"/>
        </w:rPr>
        <w:t>5</w:t>
      </w:r>
      <w:r>
        <w:t>紫外光固化涂料</w:t>
      </w:r>
      <w:bookmarkEnd w:id="280"/>
      <w:bookmarkEnd w:id="281"/>
      <w:bookmarkEnd w:id="282"/>
      <w:bookmarkEnd w:id="283"/>
      <w:bookmarkEnd w:id="284"/>
    </w:p>
    <w:p w14:paraId="79E77DE6">
      <w:pPr>
        <w:widowControl/>
        <w:ind w:firstLine="480"/>
        <w:jc w:val="left"/>
      </w:pPr>
      <w:r>
        <w:rPr>
          <w:rFonts w:hint="eastAsia"/>
        </w:rPr>
        <w:t>在紫外线的辐照下，液态涂料中的光引发剂受激发变为自由基或阳离子，从而引发涂料中具有反应活性的物质间发生化学反应，最终导致体型结构的形成，完成固化的涂料。</w:t>
      </w:r>
    </w:p>
    <w:p w14:paraId="40D5EA0C">
      <w:pPr>
        <w:pStyle w:val="4"/>
        <w:spacing w:before="0" w:after="0"/>
      </w:pPr>
      <w:bookmarkStart w:id="285" w:name="_Toc11389"/>
      <w:bookmarkStart w:id="286" w:name="_Toc3661"/>
      <w:bookmarkStart w:id="287" w:name="_Toc27746"/>
      <w:bookmarkStart w:id="288" w:name="_Toc80611444"/>
      <w:bookmarkStart w:id="289" w:name="_Toc21052"/>
      <w:r>
        <w:t>6.3.</w:t>
      </w:r>
      <w:r>
        <w:rPr>
          <w:rFonts w:hint="eastAsia"/>
        </w:rPr>
        <w:t>6</w:t>
      </w:r>
      <w:r>
        <w:t>水性涂料</w:t>
      </w:r>
      <w:bookmarkEnd w:id="285"/>
      <w:bookmarkEnd w:id="286"/>
      <w:bookmarkEnd w:id="287"/>
      <w:bookmarkEnd w:id="288"/>
      <w:bookmarkEnd w:id="289"/>
    </w:p>
    <w:p w14:paraId="6980B42F">
      <w:pPr>
        <w:widowControl/>
        <w:ind w:firstLine="480"/>
        <w:jc w:val="left"/>
      </w:pPr>
      <w:r>
        <w:rPr>
          <w:rFonts w:hint="eastAsia"/>
        </w:rPr>
        <w:t>用水作溶剂或者作分散介质，且符合</w:t>
      </w:r>
      <w:r>
        <w:t>HJ 2537</w:t>
      </w:r>
      <w:r>
        <w:rPr>
          <w:rFonts w:hint="eastAsia"/>
        </w:rPr>
        <w:t>规定的涂料。</w:t>
      </w:r>
    </w:p>
    <w:p w14:paraId="098D6983">
      <w:pPr>
        <w:pStyle w:val="4"/>
        <w:spacing w:before="0" w:after="0"/>
      </w:pPr>
      <w:bookmarkStart w:id="290" w:name="_Toc80611445"/>
      <w:bookmarkStart w:id="291" w:name="_Toc14319"/>
      <w:bookmarkStart w:id="292" w:name="_Toc4775"/>
      <w:bookmarkStart w:id="293" w:name="_Toc13495"/>
      <w:bookmarkStart w:id="294" w:name="_Toc13504"/>
      <w:r>
        <w:t>6.3.</w:t>
      </w:r>
      <w:r>
        <w:rPr>
          <w:rFonts w:hint="eastAsia"/>
        </w:rPr>
        <w:t>7</w:t>
      </w:r>
      <w:r>
        <w:t>高固体分涂料</w:t>
      </w:r>
      <w:bookmarkEnd w:id="290"/>
      <w:bookmarkEnd w:id="291"/>
      <w:bookmarkEnd w:id="292"/>
      <w:bookmarkEnd w:id="293"/>
      <w:bookmarkEnd w:id="294"/>
    </w:p>
    <w:p w14:paraId="1115726D">
      <w:pPr>
        <w:widowControl/>
        <w:ind w:firstLine="480"/>
        <w:jc w:val="left"/>
      </w:pPr>
      <w:r>
        <w:rPr>
          <w:rFonts w:hint="eastAsia"/>
        </w:rPr>
        <w:t>以有机溶剂为分散介质且固体组分质量百分含量不低于</w:t>
      </w:r>
      <w:r>
        <w:t>65%</w:t>
      </w:r>
      <w:r>
        <w:rPr>
          <w:rFonts w:hint="eastAsia"/>
        </w:rPr>
        <w:t>的涂料。</w:t>
      </w:r>
    </w:p>
    <w:p w14:paraId="7ED37D09">
      <w:pPr>
        <w:pStyle w:val="4"/>
        <w:spacing w:before="0" w:after="0"/>
      </w:pPr>
      <w:bookmarkStart w:id="295" w:name="_Toc5828"/>
      <w:bookmarkStart w:id="296" w:name="_Toc80611446"/>
      <w:bookmarkStart w:id="297" w:name="_Toc10582"/>
      <w:bookmarkStart w:id="298" w:name="_Toc23296"/>
      <w:bookmarkStart w:id="299" w:name="_Toc26024"/>
      <w:r>
        <w:t>6.3.</w:t>
      </w:r>
      <w:r>
        <w:rPr>
          <w:rFonts w:hint="eastAsia"/>
        </w:rPr>
        <w:t>8</w:t>
      </w:r>
      <w:r>
        <w:t>溶剂型涂料</w:t>
      </w:r>
      <w:bookmarkEnd w:id="295"/>
      <w:bookmarkEnd w:id="296"/>
      <w:bookmarkEnd w:id="297"/>
      <w:bookmarkEnd w:id="298"/>
      <w:bookmarkEnd w:id="299"/>
    </w:p>
    <w:p w14:paraId="1270C061">
      <w:pPr>
        <w:widowControl/>
        <w:ind w:firstLine="480"/>
        <w:jc w:val="left"/>
      </w:pPr>
      <w:r>
        <w:rPr>
          <w:rFonts w:hint="eastAsia"/>
        </w:rPr>
        <w:t>以有机溶剂为分散介质且固体组分质量百分含量低于</w:t>
      </w:r>
      <w:r>
        <w:t>60%</w:t>
      </w:r>
      <w:r>
        <w:rPr>
          <w:rFonts w:hint="eastAsia"/>
        </w:rPr>
        <w:t>的涂料。</w:t>
      </w:r>
    </w:p>
    <w:p w14:paraId="0A90F154">
      <w:pPr>
        <w:pStyle w:val="4"/>
        <w:spacing w:before="0" w:after="0"/>
      </w:pPr>
      <w:bookmarkStart w:id="300" w:name="_Toc12738"/>
      <w:bookmarkStart w:id="301" w:name="_Toc28937"/>
      <w:bookmarkStart w:id="302" w:name="_Toc14023"/>
      <w:bookmarkStart w:id="303" w:name="_Toc80611447"/>
      <w:bookmarkStart w:id="304" w:name="_Toc28009"/>
      <w:r>
        <w:t>6.3.</w:t>
      </w:r>
      <w:r>
        <w:rPr>
          <w:rFonts w:hint="eastAsia"/>
        </w:rPr>
        <w:t>9</w:t>
      </w:r>
      <w:r>
        <w:t>密闭</w:t>
      </w:r>
      <w:bookmarkEnd w:id="300"/>
      <w:bookmarkEnd w:id="301"/>
      <w:bookmarkEnd w:id="302"/>
      <w:bookmarkEnd w:id="303"/>
      <w:bookmarkEnd w:id="304"/>
    </w:p>
    <w:p w14:paraId="7586DDCF">
      <w:pPr>
        <w:widowControl/>
        <w:ind w:firstLine="480"/>
        <w:jc w:val="left"/>
      </w:pPr>
      <w:r>
        <w:rPr>
          <w:rFonts w:hint="eastAsia"/>
        </w:rPr>
        <w:t>污染物质不与环境空气接触，或通过密封材料、密闭设备与环境空气隔离的状态或作业方式。</w:t>
      </w:r>
    </w:p>
    <w:p w14:paraId="51F8342D">
      <w:pPr>
        <w:pStyle w:val="4"/>
        <w:spacing w:before="0" w:after="0"/>
      </w:pPr>
      <w:bookmarkStart w:id="305" w:name="_Toc31514"/>
      <w:bookmarkStart w:id="306" w:name="_Toc20490"/>
      <w:bookmarkStart w:id="307" w:name="_Toc8224"/>
      <w:bookmarkStart w:id="308" w:name="_Toc80611448"/>
      <w:bookmarkStart w:id="309" w:name="_Toc7498"/>
      <w:r>
        <w:t>6.3.</w:t>
      </w:r>
      <w:r>
        <w:rPr>
          <w:rFonts w:hint="eastAsia"/>
        </w:rPr>
        <w:t>10</w:t>
      </w:r>
      <w:r>
        <w:t>密闭空间</w:t>
      </w:r>
      <w:bookmarkEnd w:id="305"/>
      <w:bookmarkEnd w:id="306"/>
      <w:bookmarkEnd w:id="307"/>
      <w:bookmarkEnd w:id="308"/>
      <w:bookmarkEnd w:id="309"/>
    </w:p>
    <w:p w14:paraId="39F6846E">
      <w:pPr>
        <w:pStyle w:val="9"/>
        <w:ind w:firstLine="480" w:firstLineChars="200"/>
        <w:outlineLvl w:val="9"/>
        <w:rPr>
          <w:rFonts w:ascii="Times New Roman" w:hAnsi="Times New Roman" w:eastAsia="仿宋"/>
          <w:kern w:val="2"/>
          <w:szCs w:val="22"/>
          <w:lang w:eastAsia="zh-CN"/>
        </w:rPr>
      </w:pPr>
      <w:r>
        <w:rPr>
          <w:rFonts w:hint="eastAsia" w:ascii="Times New Roman" w:hAnsi="Times New Roman" w:eastAsia="仿宋"/>
          <w:kern w:val="2"/>
          <w:szCs w:val="22"/>
          <w:lang w:eastAsia="zh-CN"/>
        </w:rPr>
        <w:t>利用完整的围护结构将污染物质、作业场所等与周围空间阻隔所形成的封闭区域或封闭式建筑物。该封闭区域或封闭式建筑物除人员、车辆、设备、物料进出时，以及依法设立的排气筒、通风口外，门窗及其他开口（孔）部位应随时保持关闭状态。</w:t>
      </w:r>
    </w:p>
    <w:p w14:paraId="414340E2">
      <w:pPr>
        <w:pStyle w:val="4"/>
        <w:spacing w:before="0" w:after="0"/>
      </w:pPr>
      <w:bookmarkStart w:id="310" w:name="_Toc30443"/>
      <w:bookmarkStart w:id="311" w:name="_Toc80611449"/>
      <w:bookmarkStart w:id="312" w:name="_Toc12950"/>
      <w:bookmarkStart w:id="313" w:name="_Toc30187"/>
      <w:bookmarkStart w:id="314" w:name="_Toc7143"/>
      <w:r>
        <w:t>6.3.1</w:t>
      </w:r>
      <w:r>
        <w:rPr>
          <w:rFonts w:hint="eastAsia"/>
        </w:rPr>
        <w:t>1</w:t>
      </w:r>
      <w:r>
        <w:t>VOCs原辅材料</w:t>
      </w:r>
      <w:bookmarkEnd w:id="310"/>
      <w:bookmarkEnd w:id="311"/>
      <w:bookmarkEnd w:id="312"/>
      <w:bookmarkEnd w:id="313"/>
      <w:bookmarkEnd w:id="314"/>
    </w:p>
    <w:p w14:paraId="4C1CFE89">
      <w:pPr>
        <w:widowControl/>
        <w:ind w:firstLine="480"/>
      </w:pPr>
      <w:r>
        <w:t>VOCs</w:t>
      </w:r>
      <w:r>
        <w:rPr>
          <w:rFonts w:hint="eastAsia"/>
        </w:rPr>
        <w:t>质量占比大于等于</w:t>
      </w:r>
      <w:r>
        <w:t>10%</w:t>
      </w:r>
      <w:r>
        <w:rPr>
          <w:rFonts w:hint="eastAsia"/>
        </w:rPr>
        <w:t>的原辅材料，包括涂料（即用状态）、固化剂、稀释剂、胶黏剂、清洗剂等。</w:t>
      </w:r>
    </w:p>
    <w:p w14:paraId="0F5D9ED8">
      <w:pPr>
        <w:pStyle w:val="4"/>
        <w:spacing w:before="0" w:after="0"/>
      </w:pPr>
      <w:bookmarkStart w:id="315" w:name="_Toc2296"/>
      <w:bookmarkStart w:id="316" w:name="_Toc15574"/>
      <w:bookmarkStart w:id="317" w:name="_Toc2623"/>
      <w:bookmarkStart w:id="318" w:name="_Toc80611450"/>
      <w:bookmarkStart w:id="319" w:name="_Toc20408"/>
      <w:r>
        <w:t>6.3.1</w:t>
      </w:r>
      <w:r>
        <w:rPr>
          <w:rFonts w:hint="eastAsia"/>
        </w:rPr>
        <w:t>2</w:t>
      </w:r>
      <w:r>
        <w:t>无组织排放</w:t>
      </w:r>
      <w:bookmarkEnd w:id="315"/>
      <w:bookmarkEnd w:id="316"/>
      <w:bookmarkEnd w:id="317"/>
      <w:bookmarkEnd w:id="318"/>
      <w:bookmarkEnd w:id="319"/>
    </w:p>
    <w:p w14:paraId="15A38C7A">
      <w:pPr>
        <w:widowControl/>
        <w:ind w:firstLine="480"/>
      </w:pPr>
      <w:r>
        <w:rPr>
          <w:rFonts w:hint="eastAsia"/>
        </w:rPr>
        <w:t>大气污染物不经过排气筒的无规则排放以及经过低矮排气筒排放，包括开放式作业场所散逸，以及通过缝隙、通风口、敞开门窗和类似开口（孔）的排放等。</w:t>
      </w:r>
    </w:p>
    <w:p w14:paraId="3E50ED27">
      <w:pPr>
        <w:pStyle w:val="3"/>
        <w:spacing w:before="0" w:after="0"/>
        <w:rPr>
          <w:rFonts w:ascii="Times New Roman" w:hAnsi="Times New Roman"/>
        </w:rPr>
      </w:pPr>
      <w:bookmarkStart w:id="320" w:name="_Toc4050"/>
      <w:bookmarkStart w:id="321" w:name="_Toc8115"/>
      <w:bookmarkStart w:id="322" w:name="_Toc9862"/>
      <w:bookmarkStart w:id="323" w:name="_Toc9794"/>
      <w:bookmarkStart w:id="324" w:name="_Toc12514"/>
      <w:bookmarkStart w:id="325" w:name="_Toc22648198"/>
      <w:bookmarkStart w:id="326" w:name="_Toc8153"/>
      <w:bookmarkStart w:id="327" w:name="_Toc29874"/>
      <w:bookmarkStart w:id="328" w:name="_Toc24402"/>
      <w:bookmarkStart w:id="329" w:name="_Toc1068"/>
      <w:bookmarkStart w:id="330" w:name="_Toc80611459"/>
      <w:r>
        <w:rPr>
          <w:rFonts w:ascii="Times New Roman" w:hAnsi="Times New Roman"/>
        </w:rPr>
        <w:t>6.4</w:t>
      </w:r>
      <w:r>
        <w:rPr>
          <w:rFonts w:hint="eastAsia" w:ascii="Times New Roman" w:hAnsi="Times New Roman"/>
        </w:rPr>
        <w:t>基本</w:t>
      </w:r>
      <w:r>
        <w:rPr>
          <w:rFonts w:ascii="Times New Roman" w:hAnsi="Times New Roman"/>
        </w:rPr>
        <w:t>要求</w:t>
      </w:r>
      <w:bookmarkEnd w:id="320"/>
      <w:bookmarkEnd w:id="321"/>
      <w:bookmarkEnd w:id="322"/>
      <w:bookmarkEnd w:id="323"/>
      <w:bookmarkEnd w:id="324"/>
      <w:bookmarkEnd w:id="325"/>
      <w:bookmarkEnd w:id="326"/>
      <w:bookmarkEnd w:id="327"/>
      <w:bookmarkEnd w:id="328"/>
      <w:bookmarkEnd w:id="329"/>
      <w:bookmarkEnd w:id="330"/>
    </w:p>
    <w:p w14:paraId="41A6B9EC">
      <w:pPr>
        <w:widowControl/>
        <w:ind w:firstLine="480" w:firstLineChars="0"/>
      </w:pPr>
      <w:r>
        <w:rPr>
          <w:rFonts w:hint="eastAsia"/>
        </w:rPr>
        <w:t>（1）表面涂装企业应符合国家产业政策和当地城市规划、土地利用规划、环境保护规划等政策，新建涂装项目建议远离居民集中区、学校、医院等环境敏感区域，不得在法律法规规定的禁止建设区域内建设。</w:t>
      </w:r>
    </w:p>
    <w:p w14:paraId="34377AE3">
      <w:pPr>
        <w:widowControl/>
        <w:ind w:firstLine="480" w:firstLineChars="0"/>
      </w:pPr>
      <w:r>
        <w:rPr>
          <w:rFonts w:hint="eastAsia"/>
        </w:rPr>
        <w:t>（2）加强源头控制、过程管理、末端治理和环境管理相结合的全过程VOCs综合防治，优先采取源头削减技术，减少末端治理VOCs量。</w:t>
      </w:r>
    </w:p>
    <w:p w14:paraId="2423C731">
      <w:pPr>
        <w:widowControl/>
        <w:ind w:firstLine="480"/>
      </w:pPr>
      <w:r>
        <w:rPr>
          <w:rFonts w:hint="eastAsia"/>
        </w:rPr>
        <w:t>（3）治理设施建设、运行过程中产生的挥发性有机物的治理和排放，应符合GB</w:t>
      </w:r>
      <w:r>
        <w:t xml:space="preserve"> </w:t>
      </w:r>
      <w:r>
        <w:rPr>
          <w:rFonts w:hint="eastAsia"/>
        </w:rPr>
        <w:t>37822、GB</w:t>
      </w:r>
      <w:r>
        <w:t xml:space="preserve"> </w:t>
      </w:r>
      <w:r>
        <w:rPr>
          <w:rFonts w:hint="eastAsia"/>
        </w:rPr>
        <w:t>16297或相关行业、地方排放标准，以及国家和地方环境保护相关规定。</w:t>
      </w:r>
      <w:bookmarkStart w:id="331" w:name="_Toc13760"/>
      <w:bookmarkStart w:id="332" w:name="_Toc9560"/>
      <w:bookmarkStart w:id="333" w:name="_Toc10580"/>
      <w:bookmarkStart w:id="334" w:name="_Toc81"/>
      <w:bookmarkStart w:id="335" w:name="_Toc11203"/>
      <w:bookmarkStart w:id="336" w:name="_Toc4596"/>
      <w:bookmarkStart w:id="337" w:name="_Toc22648199"/>
      <w:bookmarkStart w:id="338" w:name="_Toc80611460"/>
      <w:bookmarkStart w:id="339" w:name="_Toc27156"/>
      <w:bookmarkStart w:id="340" w:name="_Toc2762"/>
      <w:bookmarkStart w:id="341" w:name="_Toc538"/>
    </w:p>
    <w:p w14:paraId="0B9D5861">
      <w:pPr>
        <w:pStyle w:val="3"/>
        <w:spacing w:before="0" w:after="0"/>
        <w:rPr>
          <w:rFonts w:ascii="Times New Roman" w:hAnsi="Times New Roman"/>
        </w:rPr>
      </w:pPr>
      <w:r>
        <w:rPr>
          <w:rFonts w:ascii="Times New Roman" w:hAnsi="Times New Roman"/>
        </w:rPr>
        <w:t>6.5源头控制</w:t>
      </w:r>
      <w:bookmarkEnd w:id="331"/>
      <w:bookmarkEnd w:id="332"/>
      <w:bookmarkEnd w:id="333"/>
      <w:bookmarkEnd w:id="334"/>
      <w:bookmarkEnd w:id="335"/>
      <w:bookmarkEnd w:id="336"/>
      <w:bookmarkEnd w:id="337"/>
      <w:bookmarkEnd w:id="338"/>
      <w:bookmarkEnd w:id="339"/>
      <w:bookmarkEnd w:id="340"/>
      <w:bookmarkEnd w:id="341"/>
      <w:r>
        <w:rPr>
          <w:rFonts w:hint="eastAsia" w:ascii="Times New Roman" w:hAnsi="Times New Roman"/>
        </w:rPr>
        <w:t>技术</w:t>
      </w:r>
    </w:p>
    <w:p w14:paraId="2E542FD8">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（1）推广使用粉末、水性、高固体分、辐射固化等低VOCs含量的环保型涂料，减少溶剂型涂料使用，使用VOCs含量原辅材料应符合相关标准要求。</w:t>
      </w:r>
    </w:p>
    <w:p w14:paraId="6EBC4A8E">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（2）汽车制造底漆应大力推广使用水性涂料，乘用车中涂、色漆大力推广使用高固体分或水性涂料，加快客车、货车等中涂、色漆改造。推进高固分罩光清漆、粉末涂料、水性清漆使用率，密封胶宜选用PVC胶。</w:t>
      </w:r>
    </w:p>
    <w:p w14:paraId="488528AA">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（3）钢制集装箱制造在箱内、箱外、木地板涂装等工序大力推广使用水性涂料，在确保防腐蚀功能的前提下，加快推进特种集装箱采用水性涂料。</w:t>
      </w:r>
    </w:p>
    <w:p w14:paraId="3775DDFF">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（4）木质家具制造大力推广使用水性涂料、UV涂料、粉末涂料、水性胶粘剂、固体热熔胶等替</w:t>
      </w:r>
    </w:p>
    <w:p w14:paraId="3FD24A1E">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代技术；金属家具制造大力推广使用粉末涂料替代技术；软体家具制造大力推广使用水性胶粘剂替代技术。</w:t>
      </w:r>
    </w:p>
    <w:p w14:paraId="01722982">
      <w:pPr>
        <w:pStyle w:val="9"/>
        <w:widowControl/>
        <w:ind w:firstLine="480"/>
        <w:outlineLvl w:val="9"/>
        <w:rPr>
          <w:szCs w:val="22"/>
          <w:lang w:eastAsia="zh-CN"/>
        </w:rPr>
      </w:pPr>
      <w:r>
        <w:rPr>
          <w:rFonts w:hint="eastAsia" w:ascii="Times New Roman" w:hAnsi="Times New Roman" w:eastAsia="仿宋"/>
          <w:kern w:val="2"/>
          <w:szCs w:val="22"/>
          <w:lang w:eastAsia="zh-CN"/>
        </w:rPr>
        <w:t>（5）工程机械制造大力推广使用水性、粉末和高固体分涂料。</w:t>
      </w:r>
    </w:p>
    <w:p w14:paraId="23A4F0A3">
      <w:pPr>
        <w:pStyle w:val="3"/>
        <w:spacing w:before="0" w:after="0"/>
        <w:rPr>
          <w:rFonts w:ascii="Times New Roman" w:hAnsi="Times New Roman"/>
        </w:rPr>
      </w:pPr>
      <w:bookmarkStart w:id="342" w:name="_Toc28386"/>
      <w:bookmarkStart w:id="343" w:name="_Toc1244"/>
      <w:bookmarkStart w:id="344" w:name="_Toc20027"/>
      <w:bookmarkStart w:id="345" w:name="_Toc80611461"/>
      <w:bookmarkStart w:id="346" w:name="_Toc15172"/>
      <w:bookmarkStart w:id="347" w:name="_Toc10925"/>
      <w:bookmarkStart w:id="348" w:name="_Toc22648200"/>
      <w:bookmarkStart w:id="349" w:name="_Toc5838"/>
      <w:bookmarkStart w:id="350" w:name="_Toc22425"/>
      <w:bookmarkStart w:id="351" w:name="_Toc24435"/>
      <w:bookmarkStart w:id="352" w:name="_Toc2468"/>
      <w:r>
        <w:rPr>
          <w:rFonts w:ascii="Times New Roman" w:hAnsi="Times New Roman"/>
        </w:rPr>
        <w:t>6.6过程控制</w:t>
      </w:r>
      <w:bookmarkEnd w:id="342"/>
      <w:bookmarkEnd w:id="343"/>
      <w:bookmarkEnd w:id="344"/>
      <w:bookmarkEnd w:id="345"/>
      <w:bookmarkEnd w:id="346"/>
      <w:bookmarkEnd w:id="347"/>
      <w:bookmarkEnd w:id="348"/>
      <w:bookmarkEnd w:id="349"/>
      <w:bookmarkEnd w:id="350"/>
      <w:bookmarkEnd w:id="351"/>
      <w:bookmarkEnd w:id="352"/>
      <w:r>
        <w:rPr>
          <w:rFonts w:hint="eastAsia" w:ascii="Times New Roman" w:hAnsi="Times New Roman"/>
        </w:rPr>
        <w:t>技术</w:t>
      </w:r>
    </w:p>
    <w:p w14:paraId="09B06A3F">
      <w:pPr>
        <w:pStyle w:val="4"/>
        <w:spacing w:before="0" w:after="0"/>
      </w:pPr>
      <w:bookmarkStart w:id="353" w:name="_Toc16211"/>
      <w:bookmarkStart w:id="354" w:name="_Toc22648201"/>
      <w:bookmarkStart w:id="355" w:name="_Toc26449"/>
      <w:bookmarkStart w:id="356" w:name="_Toc80611462"/>
      <w:bookmarkStart w:id="357" w:name="_Toc10854"/>
      <w:bookmarkStart w:id="358" w:name="_Toc22635"/>
      <w:r>
        <w:t>6.6.1涂装工艺、设备选择</w:t>
      </w:r>
      <w:bookmarkEnd w:id="353"/>
      <w:bookmarkEnd w:id="354"/>
      <w:bookmarkEnd w:id="355"/>
      <w:bookmarkEnd w:id="356"/>
      <w:bookmarkEnd w:id="357"/>
      <w:bookmarkEnd w:id="358"/>
    </w:p>
    <w:p w14:paraId="4FE89BDF">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（1）汽车制造整车生产推广使用静电高速旋转杯喷涂、自动化喷涂设备、压缩空气喷涂等高效涂装技术。</w:t>
      </w:r>
    </w:p>
    <w:p w14:paraId="29B0A190">
      <w:pPr>
        <w:pStyle w:val="9"/>
        <w:widowControl/>
        <w:ind w:firstLine="480"/>
        <w:outlineLvl w:val="9"/>
        <w:rPr>
          <w:rFonts w:eastAsia="仿宋"/>
          <w:szCs w:val="22"/>
          <w:lang w:eastAsia="zh-CN"/>
        </w:rPr>
      </w:pPr>
    </w:p>
    <w:p w14:paraId="7832EC33">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（2）汽车金属零配件企业鼓励采用粉末静电喷涂技术。</w:t>
      </w:r>
    </w:p>
    <w:p w14:paraId="549C4707">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（3）集装箱制造一次打砂工序钢板处理采用辊涂工艺。</w:t>
      </w:r>
    </w:p>
    <w:p w14:paraId="0A5DC3F8">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（4）木质家具推广使用高效的自动喷涂技术、静电喷涂、辊涂/淋涂等喷涂技术。板式家具采用喷涂工艺的，推广使用粉末静电喷涂技术；采用溶剂型、辐射固化涂料的，推广使用辊涂、淋涂等工艺。</w:t>
      </w:r>
    </w:p>
    <w:p w14:paraId="4A33AE33">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5）工程机械制造提高室内涂装比例，鼓励采用自动喷涂、静电喷涂等技术；大件喷涂可采用组件拆分、分段喷涂方式，兼用滑轨运输、可移动喷涂房等设备；除大型起重机局部修补等大型工件特殊外，禁止敞开式喷涂、晾干作业。</w:t>
      </w:r>
    </w:p>
    <w:p w14:paraId="378C7D60">
      <w:pPr>
        <w:pStyle w:val="4"/>
        <w:spacing w:before="0" w:after="0"/>
      </w:pPr>
      <w:bookmarkStart w:id="359" w:name="_Toc15878"/>
      <w:bookmarkStart w:id="360" w:name="_Toc19200"/>
      <w:bookmarkStart w:id="361" w:name="_Toc17884"/>
      <w:bookmarkStart w:id="362" w:name="_Toc22648202"/>
      <w:bookmarkStart w:id="363" w:name="_Toc21513"/>
      <w:bookmarkStart w:id="364" w:name="_Toc80611463"/>
      <w:r>
        <w:t>6.6.2涂装过程管理</w:t>
      </w:r>
      <w:bookmarkEnd w:id="359"/>
      <w:bookmarkEnd w:id="360"/>
      <w:bookmarkEnd w:id="361"/>
      <w:bookmarkEnd w:id="362"/>
      <w:bookmarkEnd w:id="363"/>
      <w:bookmarkEnd w:id="364"/>
    </w:p>
    <w:p w14:paraId="23B2A0EC">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1）VOCs质量占比大于等于10%的含VOCs原辅材料，其使用过程应采用密闭设备或在密闭空间内操作，废气应排至VOCs废气收集处理系统；无法密闭的，应采取局部气体收集措施，废气应排至VOCs废气收集处理系统。含VOCs物料的使用过程包括但不限于以下作业：</w:t>
      </w:r>
    </w:p>
    <w:p w14:paraId="16D4376F">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a)调配（混合、搅拌等）；</w:t>
      </w:r>
    </w:p>
    <w:p w14:paraId="665F4B8E">
      <w:pPr>
        <w:pStyle w:val="9"/>
        <w:widowControl/>
        <w:ind w:firstLine="480"/>
        <w:outlineLvl w:val="9"/>
        <w:rPr>
          <w:rFonts w:eastAsia="仿宋"/>
          <w:szCs w:val="22"/>
          <w:lang w:eastAsia="zh-CN"/>
        </w:rPr>
      </w:pPr>
      <w:r>
        <w:rPr>
          <w:rFonts w:ascii="Times New Roman" w:hAnsi="Times New Roman" w:eastAsia="仿宋"/>
          <w:kern w:val="2"/>
          <w:szCs w:val="22"/>
          <w:lang w:eastAsia="zh-CN"/>
        </w:rPr>
        <w:t>b)</w:t>
      </w:r>
      <w:r>
        <w:rPr>
          <w:rFonts w:hint="eastAsia" w:ascii="Times New Roman" w:hAnsi="Times New Roman" w:eastAsia="仿宋"/>
          <w:kern w:val="2"/>
          <w:szCs w:val="22"/>
          <w:lang w:eastAsia="zh-CN"/>
        </w:rPr>
        <w:t>喷涂（喷涂、浸涂、淋涂、辊涂、刷涂、涂布等）；</w:t>
      </w:r>
    </w:p>
    <w:p w14:paraId="70E26332">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c)流平；</w:t>
      </w:r>
    </w:p>
    <w:p w14:paraId="3804627C">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d)干燥（烘干、风干、晾干等）；</w:t>
      </w:r>
    </w:p>
    <w:p w14:paraId="1B43097D">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e)清洗；</w:t>
      </w:r>
    </w:p>
    <w:p w14:paraId="75CFBD19">
      <w:pPr>
        <w:pStyle w:val="9"/>
        <w:widowControl/>
        <w:ind w:firstLine="480"/>
        <w:outlineLvl w:val="9"/>
        <w:rPr>
          <w:rFonts w:eastAsia="仿宋"/>
          <w:szCs w:val="22"/>
          <w:lang w:eastAsia="zh-CN"/>
        </w:rPr>
      </w:pPr>
      <w:r>
        <w:rPr>
          <w:rFonts w:ascii="Times New Roman" w:hAnsi="Times New Roman" w:eastAsia="仿宋"/>
          <w:kern w:val="2"/>
          <w:szCs w:val="22"/>
          <w:lang w:eastAsia="zh-CN"/>
        </w:rPr>
        <w:t>f)</w:t>
      </w:r>
      <w:r>
        <w:rPr>
          <w:rFonts w:hint="eastAsia" w:ascii="Times New Roman" w:hAnsi="Times New Roman" w:eastAsia="仿宋"/>
          <w:kern w:val="2"/>
          <w:szCs w:val="22"/>
          <w:lang w:eastAsia="zh-CN"/>
        </w:rPr>
        <w:t>回收。</w:t>
      </w:r>
    </w:p>
    <w:p w14:paraId="3D966D3B">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（2）采用紧凑型涂装工位布局设计，缩短涂装工件转运距离，便于VOCs集中收集处理，减少VOCs排放。</w:t>
      </w:r>
    </w:p>
    <w:p w14:paraId="4EE941BB">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w:t>
      </w:r>
      <w:r>
        <w:rPr>
          <w:rFonts w:ascii="Times New Roman" w:hAnsi="Times New Roman" w:eastAsia="仿宋"/>
          <w:kern w:val="2"/>
          <w:szCs w:val="22"/>
          <w:lang w:eastAsia="zh-CN"/>
        </w:rPr>
        <w:t>3</w:t>
      </w:r>
      <w:r>
        <w:rPr>
          <w:rFonts w:hint="eastAsia" w:ascii="Times New Roman" w:hAnsi="Times New Roman" w:eastAsia="仿宋"/>
          <w:kern w:val="2"/>
          <w:szCs w:val="22"/>
          <w:lang w:eastAsia="zh-CN"/>
        </w:rPr>
        <w:t>）涂装车间应根据相应的技术规范设计送风速率，禁止通过加大送风量或其他通风措施稀释排放。</w:t>
      </w:r>
    </w:p>
    <w:p w14:paraId="658B7FD8">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（4）涂装设备布局应遵循科学合理高效的原则，最大限度优化空间使用，减少物料搬运和损耗。</w:t>
      </w:r>
    </w:p>
    <w:p w14:paraId="33B4644D">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w:t>
      </w:r>
      <w:r>
        <w:rPr>
          <w:rFonts w:ascii="Times New Roman" w:hAnsi="Times New Roman" w:eastAsia="仿宋"/>
          <w:kern w:val="2"/>
          <w:szCs w:val="22"/>
          <w:lang w:eastAsia="zh-CN"/>
        </w:rPr>
        <w:t>5</w:t>
      </w:r>
      <w:r>
        <w:rPr>
          <w:rFonts w:hint="eastAsia" w:ascii="Times New Roman" w:hAnsi="Times New Roman" w:eastAsia="仿宋"/>
          <w:kern w:val="2"/>
          <w:szCs w:val="22"/>
          <w:lang w:eastAsia="zh-CN"/>
        </w:rPr>
        <w:t>）实施涂装生产操作的管理，加强对作业人员的技术培训，严格执行操作规程，提高涂料利用率，严禁随意更改。</w:t>
      </w:r>
    </w:p>
    <w:p w14:paraId="57AB4BB4">
      <w:pPr>
        <w:pStyle w:val="9"/>
        <w:ind w:firstLine="480" w:firstLineChars="200"/>
        <w:outlineLvl w:val="9"/>
        <w:rPr>
          <w:rFonts w:eastAsia="仿宋"/>
          <w:kern w:val="2"/>
          <w:szCs w:val="22"/>
          <w:lang w:eastAsia="zh-CN"/>
        </w:rPr>
      </w:pPr>
      <w:r>
        <w:rPr>
          <w:rFonts w:hint="eastAsia" w:eastAsia="仿宋"/>
          <w:kern w:val="2"/>
          <w:szCs w:val="22"/>
          <w:lang w:eastAsia="zh-CN"/>
        </w:rPr>
        <w:t>（</w:t>
      </w:r>
      <w:r>
        <w:rPr>
          <w:rFonts w:eastAsia="仿宋"/>
          <w:kern w:val="2"/>
          <w:szCs w:val="22"/>
          <w:lang w:eastAsia="zh-CN"/>
        </w:rPr>
        <w:t>6</w:t>
      </w:r>
      <w:r>
        <w:rPr>
          <w:rFonts w:hint="eastAsia" w:eastAsia="仿宋"/>
          <w:kern w:val="2"/>
          <w:szCs w:val="22"/>
          <w:lang w:eastAsia="zh-CN"/>
        </w:rPr>
        <w:t>）实施涂装设备的维护管理，建立完善的设备管理体系，确保设备正常运转。</w:t>
      </w:r>
    </w:p>
    <w:p w14:paraId="618422B6">
      <w:pPr>
        <w:pStyle w:val="4"/>
        <w:spacing w:before="0" w:after="0"/>
      </w:pPr>
      <w:bookmarkStart w:id="365" w:name="_Toc16551"/>
      <w:bookmarkStart w:id="366" w:name="_Toc80611464"/>
      <w:bookmarkStart w:id="367" w:name="_Toc32015"/>
      <w:bookmarkStart w:id="368" w:name="_Toc22648203"/>
      <w:bookmarkStart w:id="369" w:name="_Toc3109"/>
      <w:bookmarkStart w:id="370" w:name="_Toc2657"/>
      <w:r>
        <w:t>6.6.3涂料和溶剂的运输、储存过程管理</w:t>
      </w:r>
      <w:bookmarkEnd w:id="365"/>
      <w:bookmarkEnd w:id="366"/>
      <w:bookmarkEnd w:id="367"/>
      <w:bookmarkEnd w:id="368"/>
      <w:bookmarkEnd w:id="369"/>
      <w:bookmarkEnd w:id="370"/>
    </w:p>
    <w:p w14:paraId="253496A8">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（1）涂料、稀释剂、清洗剂等含VOCs的原辅材料应密闭储存，调配、使用、回收、施胶等过程应采用密闭设备或在密闭空间内操作，采用密闭管道或密闭容器等输送，除工艺限制外，原则上实行集中调配。</w:t>
      </w:r>
    </w:p>
    <w:p w14:paraId="6D846C24">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w:t>
      </w:r>
      <w:r>
        <w:rPr>
          <w:rFonts w:ascii="Times New Roman" w:hAnsi="Times New Roman" w:eastAsia="仿宋"/>
          <w:kern w:val="2"/>
          <w:szCs w:val="22"/>
          <w:lang w:eastAsia="zh-CN"/>
        </w:rPr>
        <w:t>2</w:t>
      </w:r>
      <w:r>
        <w:rPr>
          <w:rFonts w:hint="eastAsia" w:ascii="Times New Roman" w:hAnsi="Times New Roman" w:eastAsia="仿宋"/>
          <w:kern w:val="2"/>
          <w:szCs w:val="22"/>
          <w:lang w:eastAsia="zh-CN"/>
        </w:rPr>
        <w:t>）废涂料、废胶粘剂、废清洗剂、废活性炭等含VOCs的危险废物应储存在危废暂存间，应委托有资质的单位进行危险废物处置，以满足GB</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18597和《危险废物转移联单管理办法》等文件的要求。</w:t>
      </w:r>
    </w:p>
    <w:p w14:paraId="0C359B5D">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w:t>
      </w:r>
      <w:r>
        <w:rPr>
          <w:rFonts w:ascii="Times New Roman" w:hAnsi="Times New Roman" w:eastAsia="仿宋"/>
          <w:kern w:val="2"/>
          <w:szCs w:val="22"/>
          <w:lang w:eastAsia="zh-CN"/>
        </w:rPr>
        <w:t>3</w:t>
      </w:r>
      <w:r>
        <w:rPr>
          <w:rFonts w:hint="eastAsia" w:ascii="Times New Roman" w:hAnsi="Times New Roman" w:eastAsia="仿宋"/>
          <w:kern w:val="2"/>
          <w:szCs w:val="22"/>
          <w:lang w:eastAsia="zh-CN"/>
        </w:rPr>
        <w:t>）VOCs原辅材料应通过密闭管道或密闭容器输送，转移VOCs原辅材料的容器除操作时段外须密封或加盖，盛装过VOCs原辅材料的废包装容器应加盖密闭。</w:t>
      </w:r>
    </w:p>
    <w:p w14:paraId="2D643C12">
      <w:pPr>
        <w:pStyle w:val="4"/>
        <w:spacing w:before="0" w:after="0"/>
      </w:pPr>
      <w:bookmarkStart w:id="371" w:name="_Toc80611465"/>
      <w:bookmarkStart w:id="372" w:name="_Toc22648204"/>
      <w:bookmarkStart w:id="373" w:name="_Toc30323"/>
      <w:bookmarkStart w:id="374" w:name="_Toc25303"/>
      <w:bookmarkStart w:id="375" w:name="_Toc26407"/>
      <w:bookmarkStart w:id="376" w:name="_Toc21639"/>
      <w:r>
        <w:t>6.6.4</w:t>
      </w:r>
      <w:r>
        <w:rPr>
          <w:rFonts w:hint="eastAsia"/>
        </w:rPr>
        <w:t>非正常工况</w:t>
      </w:r>
      <w:r>
        <w:t>过程管理</w:t>
      </w:r>
      <w:bookmarkEnd w:id="371"/>
      <w:bookmarkEnd w:id="372"/>
      <w:bookmarkEnd w:id="373"/>
      <w:bookmarkEnd w:id="374"/>
      <w:bookmarkEnd w:id="375"/>
      <w:bookmarkEnd w:id="376"/>
    </w:p>
    <w:p w14:paraId="796152D5">
      <w:pPr>
        <w:pStyle w:val="9"/>
        <w:widowControl/>
        <w:ind w:firstLine="480"/>
        <w:outlineLvl w:val="9"/>
        <w:rPr>
          <w:sz w:val="21"/>
          <w:lang w:eastAsia="zh-CN"/>
        </w:rPr>
      </w:pPr>
      <w:r>
        <w:rPr>
          <w:rFonts w:hint="eastAsia" w:ascii="Times New Roman" w:hAnsi="Times New Roman" w:eastAsia="仿宋"/>
          <w:kern w:val="2"/>
          <w:szCs w:val="22"/>
          <w:lang w:eastAsia="zh-CN"/>
        </w:rPr>
        <w:t>VOCs废气收集、处理系统发生故障或检修时，对应的生产工艺设备应停止运行待检修完毕后同步投入使用；生产工艺设备不能停止运行或不能及时停止运行的，应设置应急处理设施或采取其他替代措施。</w:t>
      </w:r>
    </w:p>
    <w:p w14:paraId="7686F21F">
      <w:pPr>
        <w:pStyle w:val="3"/>
        <w:spacing w:before="0" w:after="0"/>
        <w:rPr>
          <w:rFonts w:ascii="Times New Roman" w:hAnsi="Times New Roman"/>
        </w:rPr>
      </w:pPr>
      <w:bookmarkStart w:id="377" w:name="_Toc80611466"/>
      <w:bookmarkStart w:id="378" w:name="_Toc12678"/>
      <w:bookmarkStart w:id="379" w:name="_Toc3600"/>
      <w:bookmarkStart w:id="380" w:name="_Toc22272"/>
      <w:bookmarkStart w:id="381" w:name="_Toc23529"/>
      <w:bookmarkStart w:id="382" w:name="_Toc19168"/>
      <w:bookmarkStart w:id="383" w:name="_Toc17607"/>
      <w:bookmarkStart w:id="384" w:name="_Toc22648205"/>
      <w:bookmarkStart w:id="385" w:name="_Toc5971"/>
      <w:bookmarkStart w:id="386" w:name="_Toc15828"/>
      <w:bookmarkStart w:id="387" w:name="_Toc22804"/>
      <w:r>
        <w:rPr>
          <w:rFonts w:ascii="Times New Roman" w:hAnsi="Times New Roman"/>
        </w:rPr>
        <w:t>6.7</w:t>
      </w:r>
      <w:bookmarkEnd w:id="377"/>
      <w:bookmarkEnd w:id="378"/>
      <w:bookmarkEnd w:id="379"/>
      <w:bookmarkEnd w:id="380"/>
      <w:bookmarkEnd w:id="381"/>
      <w:bookmarkEnd w:id="382"/>
      <w:bookmarkEnd w:id="383"/>
      <w:bookmarkEnd w:id="384"/>
      <w:bookmarkEnd w:id="385"/>
      <w:bookmarkEnd w:id="386"/>
      <w:bookmarkEnd w:id="387"/>
      <w:r>
        <w:rPr>
          <w:rFonts w:hint="eastAsia" w:ascii="Times New Roman" w:hAnsi="Times New Roman"/>
        </w:rPr>
        <w:t>污染治理技术</w:t>
      </w:r>
    </w:p>
    <w:p w14:paraId="32038E7E">
      <w:pPr>
        <w:pStyle w:val="4"/>
        <w:spacing w:before="0" w:after="0"/>
      </w:pPr>
      <w:bookmarkStart w:id="388" w:name="_Toc22648206"/>
      <w:bookmarkStart w:id="389" w:name="_Toc16892"/>
      <w:bookmarkStart w:id="390" w:name="_Toc15889"/>
      <w:bookmarkStart w:id="391" w:name="_Toc3656"/>
      <w:bookmarkStart w:id="392" w:name="_Toc19279"/>
      <w:bookmarkStart w:id="393" w:name="_Toc80611467"/>
      <w:r>
        <w:t>6.7.1废气收集</w:t>
      </w:r>
      <w:bookmarkEnd w:id="388"/>
      <w:bookmarkEnd w:id="389"/>
      <w:bookmarkEnd w:id="390"/>
      <w:bookmarkEnd w:id="391"/>
      <w:bookmarkEnd w:id="392"/>
      <w:bookmarkEnd w:id="393"/>
    </w:p>
    <w:p w14:paraId="4D7E3BBC">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 xml:space="preserve">（1）企业应设置高效废气收集系统，考虑生产工艺、操作方式、废气性质、处理方法等因素，对VOCs废气进行分类收集。 </w:t>
      </w:r>
    </w:p>
    <w:p w14:paraId="7EC66B77">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（2）喷涂、晾干、调配、流平废气宜收集后合并处理，烘干废气宜单独收集处理。</w:t>
      </w:r>
    </w:p>
    <w:p w14:paraId="1D15C212">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（3）废气收集系统采用全密闭集气罩或密闭空间的，应保持微负压状态。废气收集系统排风罩（集气罩）的设置应符合GB/T</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16758的规定。采用外部排风罩的，应按GB/T</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16758、AQ/T</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4274-2016规定的方法测量控制风速，距排风罩开口面最远处的VOCs无组织排放位置，控制风速应不低于0.3米/秒，有行业要求的按相应规定执行。</w:t>
      </w:r>
    </w:p>
    <w:p w14:paraId="66C30088">
      <w:pPr>
        <w:pStyle w:val="9"/>
        <w:widowControl/>
        <w:ind w:firstLine="480"/>
        <w:outlineLvl w:val="9"/>
        <w:rPr>
          <w:sz w:val="21"/>
          <w:lang w:eastAsia="zh-CN"/>
        </w:rPr>
      </w:pPr>
      <w:r>
        <w:rPr>
          <w:rFonts w:hint="eastAsia" w:ascii="Times New Roman" w:hAnsi="Times New Roman" w:eastAsia="仿宋"/>
          <w:kern w:val="2"/>
          <w:szCs w:val="22"/>
          <w:lang w:eastAsia="zh-CN"/>
        </w:rPr>
        <w:t>（4）集气方向尽可能与污染气流运动方向一致，避免和减弱干扰气流和送风气流等对吸气气流的影响，管路应有明显的颜色区分及走向标识。</w:t>
      </w:r>
    </w:p>
    <w:p w14:paraId="462002AA">
      <w:pPr>
        <w:pStyle w:val="4"/>
        <w:spacing w:before="0" w:after="0"/>
      </w:pPr>
      <w:bookmarkStart w:id="394" w:name="_Toc80611468"/>
      <w:bookmarkStart w:id="395" w:name="_Toc29149"/>
      <w:bookmarkStart w:id="396" w:name="_Toc29263"/>
      <w:bookmarkStart w:id="397" w:name="_Toc6819"/>
      <w:bookmarkStart w:id="398" w:name="_Toc18457"/>
      <w:bookmarkStart w:id="399" w:name="_Toc22648207"/>
      <w:r>
        <w:t>6.7.2预处理</w:t>
      </w:r>
      <w:bookmarkEnd w:id="394"/>
      <w:bookmarkEnd w:id="395"/>
      <w:bookmarkEnd w:id="396"/>
      <w:bookmarkEnd w:id="397"/>
      <w:bookmarkEnd w:id="398"/>
      <w:bookmarkEnd w:id="399"/>
    </w:p>
    <w:p w14:paraId="55130EAF">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（1）预处理工艺应根据废气的成分、性质、污染物的含量和后续VOCs处理设施要求等因素进行选择。</w:t>
      </w:r>
    </w:p>
    <w:p w14:paraId="57272657">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（2）对含有颗粒物的有机废气，应采用过滤、洗涤、静电捕集等方式进行预处理后，才能排入后续VOCs处理设施。</w:t>
      </w:r>
    </w:p>
    <w:p w14:paraId="13F6BE7C">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（3）进入吸附装置的废气温度宜低于40℃。</w:t>
      </w:r>
    </w:p>
    <w:p w14:paraId="7BF65D94">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（4）有机废气在预处理时，VOCs浓度应控制在其爆炸下限的25%以下。</w:t>
      </w:r>
    </w:p>
    <w:p w14:paraId="3571025C">
      <w:pPr>
        <w:pStyle w:val="9"/>
        <w:widowControl/>
        <w:ind w:firstLine="480"/>
        <w:outlineLvl w:val="9"/>
        <w:rPr>
          <w:rFonts w:ascii="Times New Roman" w:hAnsi="Times New Roman" w:eastAsia="仿宋"/>
          <w:szCs w:val="22"/>
          <w:lang w:eastAsia="zh-CN"/>
        </w:rPr>
      </w:pPr>
      <w:r>
        <w:rPr>
          <w:rFonts w:hint="eastAsia" w:ascii="Times New Roman" w:hAnsi="Times New Roman" w:eastAsia="仿宋"/>
          <w:kern w:val="2"/>
          <w:szCs w:val="22"/>
          <w:lang w:eastAsia="zh-CN"/>
        </w:rPr>
        <w:t>（5）过滤装置两端应装设压差计，当过滤器的阻力超过规定值时应及时清理或更换过滤材料。</w:t>
      </w:r>
    </w:p>
    <w:p w14:paraId="781500D8">
      <w:pPr>
        <w:pStyle w:val="4"/>
        <w:spacing w:before="0" w:after="0"/>
      </w:pPr>
      <w:bookmarkStart w:id="400" w:name="_Toc3083"/>
      <w:bookmarkStart w:id="401" w:name="_Toc11823"/>
      <w:bookmarkStart w:id="402" w:name="_Toc22648208"/>
      <w:bookmarkStart w:id="403" w:name="_Toc27376"/>
      <w:bookmarkStart w:id="404" w:name="_Toc3127"/>
      <w:bookmarkStart w:id="405" w:name="_Toc80611469"/>
      <w:r>
        <w:t>6.7.3处理设施工艺选择</w:t>
      </w:r>
      <w:bookmarkEnd w:id="400"/>
      <w:bookmarkEnd w:id="401"/>
      <w:bookmarkEnd w:id="402"/>
      <w:bookmarkEnd w:id="403"/>
      <w:bookmarkEnd w:id="404"/>
      <w:bookmarkEnd w:id="405"/>
    </w:p>
    <w:p w14:paraId="58CE6437">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（1）治理工艺设计应以“一厂一策”为核心，首先遵循安全第一，同时兼顾成熟可靠和经济适用的原则。</w:t>
      </w:r>
    </w:p>
    <w:p w14:paraId="00E774AA">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（2）喷涂废气应设置高效漆雾处理装置。鼓励采取干式过滤高效除漆雾、湿式水帘+多级过滤联合装置、静电漆雾捕集等优异除漆雾装置。</w:t>
      </w:r>
    </w:p>
    <w:p w14:paraId="4A7359B3">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（3）调配、流平等废气可与喷涂、晾（风）干废气确保温度低于45℃一并处理。</w:t>
      </w:r>
    </w:p>
    <w:p w14:paraId="46450DDB">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（4）废气处理的工艺路线应根据废气产生量、污染物组分和性质、温度、压力等因素，综合分析后合理选择。</w:t>
      </w:r>
    </w:p>
    <w:p w14:paraId="62316A17">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 xml:space="preserve">（5）处理设备的防火、防爆设计须符合《建筑设计防火规范》（GB 50016），《石油化工企业设计防火规范》（GB 50160），《爆炸危险环境电力装置设计规范》（GB 50058），《涂装作业安全规程有机废气净化装置安全技术规定》（GB 20101）等有关标准的规定。 </w:t>
      </w:r>
    </w:p>
    <w:p w14:paraId="1CBFE4E6">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（6）当废气中VOCs具有回收价值且浓度大于1500</w:t>
      </w:r>
      <w:r>
        <w:rPr>
          <w:rFonts w:ascii="Times New Roman" w:hAnsi="Times New Roman" w:eastAsia="仿宋"/>
          <w:kern w:val="2"/>
          <w:szCs w:val="22"/>
          <w:lang w:eastAsia="zh-CN"/>
        </w:rPr>
        <w:t xml:space="preserve"> mg/m3</w:t>
      </w:r>
      <w:r>
        <w:rPr>
          <w:rFonts w:hint="eastAsia" w:ascii="Times New Roman" w:hAnsi="Times New Roman" w:eastAsia="仿宋"/>
          <w:kern w:val="2"/>
          <w:szCs w:val="22"/>
          <w:lang w:eastAsia="zh-CN"/>
        </w:rPr>
        <w:t xml:space="preserve">时，应进行回收利用并实现达标排放。 </w:t>
      </w:r>
    </w:p>
    <w:p w14:paraId="08BD1EA7">
      <w:pPr>
        <w:pStyle w:val="9"/>
        <w:widowControl/>
        <w:ind w:firstLine="480"/>
        <w:outlineLvl w:val="9"/>
        <w:rPr>
          <w:sz w:val="21"/>
          <w:lang w:eastAsia="zh-CN"/>
        </w:rPr>
      </w:pPr>
      <w:r>
        <w:rPr>
          <w:rFonts w:hint="eastAsia" w:ascii="Times New Roman" w:hAnsi="Times New Roman" w:eastAsia="仿宋"/>
          <w:kern w:val="2"/>
          <w:szCs w:val="22"/>
          <w:lang w:eastAsia="zh-CN"/>
        </w:rPr>
        <w:t>（</w:t>
      </w:r>
      <w:r>
        <w:rPr>
          <w:rFonts w:ascii="Times New Roman" w:hAnsi="Times New Roman" w:eastAsia="仿宋"/>
          <w:kern w:val="2"/>
          <w:szCs w:val="22"/>
          <w:lang w:eastAsia="zh-CN"/>
        </w:rPr>
        <w:t>7</w:t>
      </w:r>
      <w:r>
        <w:rPr>
          <w:rFonts w:hint="eastAsia" w:ascii="Times New Roman" w:hAnsi="Times New Roman" w:eastAsia="仿宋"/>
          <w:kern w:val="2"/>
          <w:szCs w:val="22"/>
          <w:lang w:eastAsia="zh-CN"/>
        </w:rPr>
        <w:t>）宜采用疏水性的沸石转轮浓缩装置，若采用本身可燃的吸附材料进行吸附，不得采用超过120℃热空气吹扫脱附。</w:t>
      </w:r>
    </w:p>
    <w:p w14:paraId="48919BE9">
      <w:pPr>
        <w:pStyle w:val="4"/>
        <w:spacing w:before="0" w:after="0"/>
      </w:pPr>
      <w:bookmarkStart w:id="406" w:name="_Toc14681"/>
      <w:bookmarkStart w:id="407" w:name="_Toc8172"/>
      <w:bookmarkStart w:id="408" w:name="_Toc22648209"/>
      <w:bookmarkStart w:id="409" w:name="_Toc17082"/>
      <w:bookmarkStart w:id="410" w:name="_Toc80611470"/>
      <w:bookmarkStart w:id="411" w:name="_Toc20972"/>
      <w:r>
        <w:t>6.7.4VOCs排放控制要求</w:t>
      </w:r>
      <w:bookmarkEnd w:id="406"/>
      <w:bookmarkEnd w:id="407"/>
      <w:bookmarkEnd w:id="408"/>
      <w:bookmarkEnd w:id="409"/>
      <w:bookmarkEnd w:id="410"/>
      <w:bookmarkEnd w:id="411"/>
    </w:p>
    <w:p w14:paraId="15170639">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（1）涂装生产VOCs排放应符合GB</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37822、GB</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16297或相关行业、地方排放标准的规定。</w:t>
      </w:r>
    </w:p>
    <w:p w14:paraId="2F56849C">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（2）收集的废气中NMHC初始排放速率≥</w:t>
      </w:r>
      <w:r>
        <w:rPr>
          <w:rFonts w:ascii="Times New Roman" w:hAnsi="Times New Roman" w:eastAsia="仿宋"/>
          <w:kern w:val="2"/>
          <w:szCs w:val="22"/>
          <w:lang w:eastAsia="zh-CN"/>
        </w:rPr>
        <w:t>3</w:t>
      </w:r>
      <w:r>
        <w:rPr>
          <w:rFonts w:hint="eastAsia" w:ascii="Times New Roman" w:hAnsi="Times New Roman" w:eastAsia="仿宋"/>
          <w:kern w:val="2"/>
          <w:szCs w:val="22"/>
          <w:lang w:eastAsia="zh-CN"/>
        </w:rPr>
        <w:t xml:space="preserve"> kg/h时，应配置VOCs处理设施，处理效率不低于80%。</w:t>
      </w:r>
    </w:p>
    <w:p w14:paraId="252A2E96">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（3）排气筒高度不低于15</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m（因安全考虑或有特殊工艺要求的除外），具体高度以及与周围建筑物的相对高度关系应根据环境影响评价文件确定。</w:t>
      </w:r>
    </w:p>
    <w:p w14:paraId="5E4A0921">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4）当执行不同排放控制要求的废气合并排气筒排放时，应在废气混合前进行监测，并执行相应的排放控制要求；若可选择的监控位置只能对混合后的废气进行监测，则应按各排放控制要求中最严格的规定执行。</w:t>
      </w:r>
    </w:p>
    <w:p w14:paraId="1BDFCEA9">
      <w:pPr>
        <w:pStyle w:val="4"/>
        <w:spacing w:before="0" w:after="0"/>
      </w:pPr>
      <w:bookmarkStart w:id="412" w:name="_Toc3540"/>
      <w:bookmarkStart w:id="413" w:name="_Toc80611471"/>
      <w:bookmarkStart w:id="414" w:name="_Toc12621"/>
      <w:bookmarkStart w:id="415" w:name="_Toc22648210"/>
      <w:bookmarkStart w:id="416" w:name="_Toc24727"/>
      <w:bookmarkStart w:id="417" w:name="_Toc27783"/>
      <w:r>
        <w:t>6.7.5典型</w:t>
      </w:r>
      <w:bookmarkEnd w:id="412"/>
      <w:bookmarkEnd w:id="413"/>
      <w:bookmarkEnd w:id="414"/>
      <w:bookmarkEnd w:id="415"/>
      <w:r>
        <w:rPr>
          <w:rFonts w:hint="eastAsia"/>
        </w:rPr>
        <w:t>处理技术要点</w:t>
      </w:r>
      <w:bookmarkEnd w:id="416"/>
      <w:bookmarkEnd w:id="417"/>
    </w:p>
    <w:p w14:paraId="7407E449">
      <w:pPr>
        <w:pStyle w:val="5"/>
        <w:spacing w:before="0" w:after="0"/>
        <w:rPr>
          <w:rFonts w:ascii="Times New Roman" w:hAnsi="Times New Roman"/>
          <w:kern w:val="0"/>
          <w:szCs w:val="32"/>
        </w:rPr>
      </w:pPr>
      <w:bookmarkStart w:id="418" w:name="_Toc80611472"/>
      <w:r>
        <w:rPr>
          <w:rFonts w:ascii="Times New Roman" w:hAnsi="Times New Roman"/>
          <w:kern w:val="0"/>
          <w:szCs w:val="32"/>
        </w:rPr>
        <w:t>6.7.5.1热力氧化法（RTO、RCO）治理技术应用要求</w:t>
      </w:r>
      <w:bookmarkEnd w:id="418"/>
    </w:p>
    <w:p w14:paraId="6DCDBBE1">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RTO（蓄热式热力燃烧法）治理技术的安装与运行可参考《催化燃烧法工业有机废气治理工程技术规范》（HJ</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2027-2013），RCO治理技术的安装与运行符合《催化燃烧法工业有机废气治理工程技术规范》（HJ</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2027-2013）。</w:t>
      </w:r>
    </w:p>
    <w:p w14:paraId="08AD8E38">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RTO与RCO（蓄热式催化燃烧法）应用需满足如下要求：</w:t>
      </w:r>
    </w:p>
    <w:p w14:paraId="0535A7FB">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（1）应根据废气的组成浓度，确定废气起燃温度、炉内停留时间，混合气体按照起燃温度最高的组分确定，确保有机废气燃烧完全；</w:t>
      </w:r>
    </w:p>
    <w:p w14:paraId="7679ED0C">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（2）蓄热体的使用寿命应大于24000h，换热效率达到90%以上；</w:t>
      </w:r>
    </w:p>
    <w:p w14:paraId="3E87CD49">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（3）换向阀的泄漏量能够控制在3%以下；</w:t>
      </w:r>
    </w:p>
    <w:p w14:paraId="7ADB40F5">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（4）助燃燃料为清洁能源，燃烧过程中不产生二次污染，能根据炉内燃烧气体温度自动调节燃料用量，以节省燃料；</w:t>
      </w:r>
    </w:p>
    <w:p w14:paraId="4857F63B">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（5）有机废气经处理后，排烟温度低于100℃；</w:t>
      </w:r>
    </w:p>
    <w:p w14:paraId="718E1FC1">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（6）实现PLC自动控制，具有实时监控系统、预警系统，具有防火防爆的安全措施；</w:t>
      </w:r>
    </w:p>
    <w:p w14:paraId="746525A6">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（7）RCO装置应明确催化剂的更换周期和后处理方式；</w:t>
      </w:r>
    </w:p>
    <w:p w14:paraId="676238EE">
      <w:pPr>
        <w:pStyle w:val="9"/>
        <w:ind w:firstLine="480"/>
        <w:outlineLvl w:val="9"/>
        <w:rPr>
          <w:lang w:eastAsia="zh-CN"/>
        </w:rPr>
      </w:pPr>
      <w:r>
        <w:rPr>
          <w:rFonts w:hint="eastAsia" w:ascii="Times New Roman" w:hAnsi="Times New Roman" w:eastAsia="仿宋"/>
          <w:kern w:val="2"/>
          <w:szCs w:val="22"/>
          <w:lang w:eastAsia="zh-CN"/>
        </w:rPr>
        <w:t>（8）热力氧化装置净化后的废气排放应达到江西省地标《挥发性有机物排放标准</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第5部分：汽车制造业》（DB36</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1101.5-2019）、《挥发性有机物排放标准</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第6部分：家具制造业的规定》（DB</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361101.6-2019）、GB</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37822、GB</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16297等相关标准要求。</w:t>
      </w:r>
    </w:p>
    <w:p w14:paraId="489BF8D2">
      <w:pPr>
        <w:pStyle w:val="5"/>
        <w:spacing w:before="0" w:after="0"/>
        <w:rPr>
          <w:rFonts w:ascii="Times New Roman" w:hAnsi="Times New Roman"/>
          <w:kern w:val="0"/>
          <w:szCs w:val="32"/>
        </w:rPr>
      </w:pPr>
      <w:bookmarkStart w:id="419" w:name="_Toc80611473"/>
      <w:r>
        <w:rPr>
          <w:rFonts w:ascii="Times New Roman" w:hAnsi="Times New Roman"/>
          <w:kern w:val="0"/>
          <w:szCs w:val="32"/>
        </w:rPr>
        <w:t>6.7.5.2吸附浓缩-（催化）燃烧法治理技术应用要求</w:t>
      </w:r>
      <w:bookmarkEnd w:id="419"/>
    </w:p>
    <w:p w14:paraId="22A5658F">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治理技术的安装与运行需满足《吸附法工业有机废气治理工程技术规范》（HJ</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2026-2013）和《催化燃烧法工业有机废气治理工程技术规范》（HJ</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2027-2013）。配套的原位再生手段（脱附）设施，应有规范的管理制度，明确再生周期，并有相应的记录。</w:t>
      </w:r>
    </w:p>
    <w:p w14:paraId="3E35ED8D">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（催化）燃烧法需满足如下要求：</w:t>
      </w:r>
    </w:p>
    <w:p w14:paraId="35E70274">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（1）需给出与废气浓度、吸附剂再生周期相适应的催化剂使用寿命，更换周期；</w:t>
      </w:r>
    </w:p>
    <w:p w14:paraId="7A55F9DF">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（2）根据废气成分明确（催化）燃烧装置的起燃温度，确保废气温度达到起燃温度并燃烧完全；</w:t>
      </w:r>
    </w:p>
    <w:p w14:paraId="4F5FE921">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（3）燃烧过程产生的热量应进行回收，热能回收效率不得低于35%；</w:t>
      </w:r>
    </w:p>
    <w:p w14:paraId="2D7F806A">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（4）根据废气浓度、废气排放量、吸附剂的使用量以及企业的生产时间，明确吸附剂的再生周期，定期进行吸附剂再生；治理设施能实现自动控制，安装有警报防火防爆装置，有应急处理方案；</w:t>
      </w:r>
    </w:p>
    <w:p w14:paraId="0F6E2BCA">
      <w:pPr>
        <w:pStyle w:val="9"/>
        <w:widowControl/>
        <w:ind w:firstLine="480"/>
        <w:outlineLvl w:val="9"/>
        <w:rPr>
          <w:szCs w:val="22"/>
          <w:lang w:eastAsia="zh-CN"/>
        </w:rPr>
      </w:pPr>
      <w:r>
        <w:rPr>
          <w:rFonts w:hint="eastAsia" w:ascii="Times New Roman" w:hAnsi="Times New Roman" w:eastAsia="仿宋"/>
          <w:kern w:val="2"/>
          <w:szCs w:val="22"/>
          <w:lang w:eastAsia="zh-CN"/>
        </w:rPr>
        <w:t>（5）吸附浓缩-（催化）燃烧的废气排放应达到江西省地标《挥发性有机物排放标准</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第5部分：汽车制造业》（DB36</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1101.5-2019）、《挥发性有机物排放标准</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第6部分：家具制造业的规定》（DB36</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1101.6-2019）、GB</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37822、GB</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16297等相关标准要求。</w:t>
      </w:r>
    </w:p>
    <w:p w14:paraId="5F086F13">
      <w:pPr>
        <w:pStyle w:val="5"/>
        <w:spacing w:before="0" w:after="0"/>
        <w:rPr>
          <w:rFonts w:ascii="Times New Roman" w:hAnsi="Times New Roman"/>
          <w:kern w:val="0"/>
          <w:szCs w:val="32"/>
        </w:rPr>
      </w:pPr>
      <w:bookmarkStart w:id="420" w:name="_Toc80611474"/>
      <w:r>
        <w:rPr>
          <w:rFonts w:ascii="Times New Roman" w:hAnsi="Times New Roman"/>
          <w:kern w:val="0"/>
          <w:szCs w:val="32"/>
        </w:rPr>
        <w:t>6.7.5.3吸附法治理技术应用要求</w:t>
      </w:r>
      <w:bookmarkEnd w:id="420"/>
    </w:p>
    <w:p w14:paraId="619A1F11">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吸附法治理技术的建设应符合《吸附法工业有机废气治理工程技术规范》（HJ</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2027-2013）的规定。</w:t>
      </w:r>
    </w:p>
    <w:p w14:paraId="70A6AFFB">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吸附法应用需满足如下要求：</w:t>
      </w:r>
    </w:p>
    <w:p w14:paraId="45BA2419">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（1）具备完整的治理技术设计方案，保证吸附材料的正常可靠实用，注明所用吸附材料的吸附容量；</w:t>
      </w:r>
    </w:p>
    <w:p w14:paraId="1107ACED">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（2）需给出与废气排放相适应的吸附材料使用寿命，明确吸附材料的更换周期，同时安装VOCs在线监测仪器，实时监测吸附剂的饱和更换情况；</w:t>
      </w:r>
    </w:p>
    <w:p w14:paraId="6E81AB67">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（3）为吸附法治理设施设定专门的管理人员（部门），确保吸附材料按时更换；</w:t>
      </w:r>
    </w:p>
    <w:p w14:paraId="7F998E2B">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（4）吸附饱和后被更换的吸附剂归为危险废物（HW12、HW49），需移交有资质的危险废物处理公司处理，应有规范的危险废物转移记录，便于核查；</w:t>
      </w:r>
    </w:p>
    <w:p w14:paraId="40EFFC49">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（5）吸附装置的净化后废气排放应达到江西省地标《挥发性有机物排放标准</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第5部分：汽车制造业》（DB36</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1101.5-2019）、《挥发性有机物排放标准</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第6部分：家具制造业的规定》（DB36</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1101.6-2019）、GB</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37822、GB</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16297等相关标准要求。</w:t>
      </w:r>
    </w:p>
    <w:p w14:paraId="34222842">
      <w:pPr>
        <w:pStyle w:val="3"/>
        <w:spacing w:before="0" w:after="0"/>
        <w:rPr>
          <w:rFonts w:ascii="Times New Roman" w:hAnsi="Times New Roman"/>
        </w:rPr>
      </w:pPr>
      <w:bookmarkStart w:id="421" w:name="_Toc24137"/>
      <w:bookmarkStart w:id="422" w:name="_Toc4968"/>
      <w:bookmarkStart w:id="423" w:name="_Toc1374"/>
      <w:bookmarkStart w:id="424" w:name="_Toc22648211"/>
      <w:bookmarkStart w:id="425" w:name="_Toc80611475"/>
      <w:bookmarkStart w:id="426" w:name="_Toc23612"/>
      <w:bookmarkStart w:id="427" w:name="_Toc17167"/>
      <w:bookmarkStart w:id="428" w:name="_Toc19364"/>
      <w:bookmarkStart w:id="429" w:name="_Toc11440"/>
      <w:bookmarkStart w:id="430" w:name="_Toc6240"/>
      <w:bookmarkStart w:id="431" w:name="_Toc11523"/>
      <w:r>
        <w:rPr>
          <w:rFonts w:ascii="Times New Roman" w:hAnsi="Times New Roman"/>
        </w:rPr>
        <w:t>6.8二次污染防治</w:t>
      </w:r>
      <w:bookmarkEnd w:id="421"/>
      <w:bookmarkEnd w:id="422"/>
      <w:bookmarkEnd w:id="423"/>
      <w:bookmarkEnd w:id="424"/>
      <w:bookmarkEnd w:id="425"/>
      <w:bookmarkEnd w:id="426"/>
      <w:bookmarkEnd w:id="427"/>
      <w:bookmarkEnd w:id="428"/>
      <w:bookmarkEnd w:id="429"/>
      <w:bookmarkEnd w:id="430"/>
      <w:bookmarkEnd w:id="431"/>
      <w:r>
        <w:rPr>
          <w:rFonts w:hint="eastAsia" w:ascii="Times New Roman" w:hAnsi="Times New Roman"/>
        </w:rPr>
        <w:t>技术</w:t>
      </w:r>
    </w:p>
    <w:p w14:paraId="1D6F3329">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 xml:space="preserve">（1）废涂料桶、废有机溶剂、涂料渣以及其它含VOCs的废料，暂存过程中逸散的VOCs应采取有效措施达到GB 37822规定。 </w:t>
      </w:r>
    </w:p>
    <w:p w14:paraId="4E0A74CD">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 xml:space="preserve">（2）废有机溶剂、涂料渣、废过滤棉、废吸附剂以及其它含VOCs的废料，弃用后须分类防治于贴有标识的容器或包装袋，严格按照国家固体废物污染防治有关要求进行管理、处置。 </w:t>
      </w:r>
    </w:p>
    <w:p w14:paraId="022FAC33">
      <w:pPr>
        <w:pStyle w:val="9"/>
        <w:widowControl/>
        <w:ind w:firstLine="480"/>
        <w:outlineLvl w:val="9"/>
        <w:rPr>
          <w:sz w:val="21"/>
          <w:lang w:eastAsia="zh-CN"/>
        </w:rPr>
      </w:pPr>
      <w:r>
        <w:rPr>
          <w:rFonts w:hint="eastAsia" w:ascii="Times New Roman" w:hAnsi="Times New Roman" w:eastAsia="仿宋"/>
          <w:kern w:val="2"/>
          <w:szCs w:val="22"/>
          <w:lang w:eastAsia="zh-CN"/>
        </w:rPr>
        <w:t>（3）对于催化燃烧和高温焚烧过程中产生的含硫、氮、氯等的无机废气，以及治理过程中产生的含有机物废水，应处理后达标排放。</w:t>
      </w:r>
    </w:p>
    <w:p w14:paraId="12461B5E">
      <w:pPr>
        <w:pStyle w:val="3"/>
        <w:spacing w:before="0" w:after="0"/>
        <w:rPr>
          <w:rFonts w:ascii="Times New Roman" w:hAnsi="Times New Roman"/>
        </w:rPr>
      </w:pPr>
      <w:bookmarkStart w:id="432" w:name="_Toc5463"/>
      <w:bookmarkStart w:id="433" w:name="_Toc17895"/>
      <w:bookmarkStart w:id="434" w:name="_Toc21521"/>
      <w:bookmarkStart w:id="435" w:name="_Toc25859"/>
      <w:bookmarkStart w:id="436" w:name="_Toc22648212"/>
      <w:bookmarkStart w:id="437" w:name="_Toc80611476"/>
      <w:bookmarkStart w:id="438" w:name="_Toc9195"/>
      <w:bookmarkStart w:id="439" w:name="_Toc18735"/>
      <w:bookmarkStart w:id="440" w:name="_Toc30005"/>
      <w:bookmarkStart w:id="441" w:name="_Toc16805"/>
      <w:bookmarkStart w:id="442" w:name="_Toc24523"/>
      <w:r>
        <w:rPr>
          <w:rFonts w:ascii="Times New Roman" w:hAnsi="Times New Roman"/>
        </w:rPr>
        <w:t>6.9环境管理</w:t>
      </w:r>
      <w:bookmarkEnd w:id="432"/>
      <w:bookmarkEnd w:id="433"/>
      <w:bookmarkEnd w:id="434"/>
      <w:bookmarkEnd w:id="435"/>
      <w:bookmarkEnd w:id="436"/>
      <w:bookmarkEnd w:id="437"/>
      <w:bookmarkEnd w:id="438"/>
      <w:bookmarkEnd w:id="439"/>
      <w:bookmarkEnd w:id="440"/>
      <w:bookmarkEnd w:id="441"/>
      <w:bookmarkEnd w:id="442"/>
    </w:p>
    <w:p w14:paraId="26949B06">
      <w:pPr>
        <w:pStyle w:val="4"/>
        <w:spacing w:before="0" w:after="0"/>
      </w:pPr>
      <w:bookmarkStart w:id="443" w:name="_Toc22648213"/>
      <w:bookmarkStart w:id="444" w:name="_Toc26409"/>
      <w:bookmarkStart w:id="445" w:name="_Toc5434"/>
      <w:bookmarkStart w:id="446" w:name="_Toc80611477"/>
      <w:bookmarkStart w:id="447" w:name="_Toc19485"/>
      <w:bookmarkStart w:id="448" w:name="_Toc29871"/>
      <w:r>
        <w:t>6.9.1建立VOCs生产全过程控制管理制度</w:t>
      </w:r>
      <w:bookmarkEnd w:id="443"/>
      <w:bookmarkEnd w:id="444"/>
      <w:bookmarkEnd w:id="445"/>
      <w:bookmarkEnd w:id="446"/>
      <w:bookmarkEnd w:id="447"/>
      <w:bookmarkEnd w:id="448"/>
    </w:p>
    <w:p w14:paraId="2E0BFFA9">
      <w:pPr>
        <w:pStyle w:val="71"/>
        <w:spacing w:line="360" w:lineRule="auto"/>
        <w:ind w:right="0" w:firstLine="480" w:firstLineChars="200"/>
        <w:outlineLvl w:val="9"/>
        <w:rPr>
          <w:rFonts w:eastAsia="仿宋"/>
          <w:kern w:val="2"/>
          <w:szCs w:val="22"/>
        </w:rPr>
      </w:pPr>
      <w:r>
        <w:rPr>
          <w:rFonts w:hint="eastAsia" w:eastAsia="仿宋"/>
          <w:kern w:val="2"/>
          <w:szCs w:val="22"/>
        </w:rPr>
        <w:t>（</w:t>
      </w:r>
      <w:r>
        <w:rPr>
          <w:rFonts w:eastAsia="仿宋"/>
          <w:kern w:val="2"/>
          <w:szCs w:val="22"/>
        </w:rPr>
        <w:t>1</w:t>
      </w:r>
      <w:r>
        <w:rPr>
          <w:rFonts w:hint="eastAsia" w:eastAsia="仿宋"/>
          <w:kern w:val="2"/>
          <w:szCs w:val="22"/>
        </w:rPr>
        <w:t>）企业须制定规章制度和激励机制控制单位涂装面积的涂料消耗量。</w:t>
      </w:r>
    </w:p>
    <w:p w14:paraId="1D5BBF01">
      <w:pPr>
        <w:pStyle w:val="71"/>
        <w:spacing w:line="360" w:lineRule="auto"/>
        <w:ind w:right="0" w:firstLine="480" w:firstLineChars="200"/>
        <w:outlineLvl w:val="9"/>
        <w:rPr>
          <w:rFonts w:eastAsia="仿宋"/>
          <w:kern w:val="2"/>
          <w:szCs w:val="22"/>
        </w:rPr>
      </w:pPr>
      <w:r>
        <w:rPr>
          <w:rFonts w:hint="eastAsia" w:eastAsia="仿宋"/>
          <w:kern w:val="2"/>
          <w:szCs w:val="22"/>
        </w:rPr>
        <w:t>（</w:t>
      </w:r>
      <w:r>
        <w:rPr>
          <w:rFonts w:eastAsia="仿宋"/>
          <w:kern w:val="2"/>
          <w:szCs w:val="22"/>
        </w:rPr>
        <w:t>2</w:t>
      </w:r>
      <w:r>
        <w:rPr>
          <w:rFonts w:hint="eastAsia" w:eastAsia="仿宋"/>
          <w:kern w:val="2"/>
          <w:szCs w:val="22"/>
        </w:rPr>
        <w:t>）企业应建立运行、维护和操作相关规章制度及规程，明确耗材的更换周期和设施的检查周期，建立主要设备运行状况的台账制度。</w:t>
      </w:r>
    </w:p>
    <w:p w14:paraId="63BB3D36">
      <w:pPr>
        <w:pStyle w:val="71"/>
        <w:spacing w:line="360" w:lineRule="auto"/>
        <w:ind w:right="0" w:firstLine="480" w:firstLineChars="200"/>
        <w:outlineLvl w:val="9"/>
        <w:rPr>
          <w:rFonts w:eastAsia="仿宋"/>
          <w:kern w:val="2"/>
          <w:szCs w:val="22"/>
        </w:rPr>
      </w:pPr>
      <w:r>
        <w:rPr>
          <w:rFonts w:hint="eastAsia" w:eastAsia="仿宋"/>
          <w:kern w:val="2"/>
          <w:szCs w:val="22"/>
        </w:rPr>
        <w:t>（</w:t>
      </w:r>
      <w:r>
        <w:rPr>
          <w:rFonts w:eastAsia="仿宋"/>
          <w:kern w:val="2"/>
          <w:szCs w:val="22"/>
        </w:rPr>
        <w:t>3</w:t>
      </w:r>
      <w:r>
        <w:rPr>
          <w:rFonts w:hint="eastAsia" w:eastAsia="仿宋"/>
          <w:kern w:val="2"/>
          <w:szCs w:val="22"/>
        </w:rPr>
        <w:t>）涂装空间须建立</w:t>
      </w:r>
      <w:r>
        <w:rPr>
          <w:rFonts w:eastAsia="仿宋"/>
          <w:kern w:val="2"/>
          <w:szCs w:val="22"/>
        </w:rPr>
        <w:t>VOCs</w:t>
      </w:r>
      <w:r>
        <w:rPr>
          <w:rFonts w:hint="eastAsia" w:eastAsia="仿宋"/>
          <w:kern w:val="2"/>
          <w:szCs w:val="22"/>
        </w:rPr>
        <w:t>无组织散发控制制度。</w:t>
      </w:r>
    </w:p>
    <w:p w14:paraId="21283522">
      <w:pPr>
        <w:pStyle w:val="71"/>
        <w:spacing w:line="360" w:lineRule="auto"/>
        <w:ind w:right="0" w:firstLine="480" w:firstLineChars="200"/>
        <w:outlineLvl w:val="9"/>
        <w:rPr>
          <w:rFonts w:eastAsia="仿宋"/>
          <w:kern w:val="2"/>
          <w:szCs w:val="22"/>
        </w:rPr>
      </w:pPr>
      <w:r>
        <w:rPr>
          <w:rFonts w:hint="eastAsia" w:eastAsia="仿宋"/>
          <w:kern w:val="2"/>
          <w:szCs w:val="22"/>
        </w:rPr>
        <w:t>（</w:t>
      </w:r>
      <w:r>
        <w:rPr>
          <w:rFonts w:eastAsia="仿宋"/>
          <w:kern w:val="2"/>
          <w:szCs w:val="22"/>
        </w:rPr>
        <w:t>4</w:t>
      </w:r>
      <w:r>
        <w:rPr>
          <w:rFonts w:hint="eastAsia" w:eastAsia="仿宋"/>
          <w:kern w:val="2"/>
          <w:szCs w:val="22"/>
        </w:rPr>
        <w:t>）企业宜建立日常</w:t>
      </w:r>
      <w:r>
        <w:rPr>
          <w:rFonts w:eastAsia="仿宋"/>
          <w:kern w:val="2"/>
          <w:szCs w:val="22"/>
        </w:rPr>
        <w:t>VOCs</w:t>
      </w:r>
      <w:r>
        <w:rPr>
          <w:rFonts w:hint="eastAsia" w:eastAsia="仿宋"/>
          <w:kern w:val="2"/>
          <w:szCs w:val="22"/>
        </w:rPr>
        <w:t>无组织控制巡测制度。喷涂空间的进出口、门窗及其他开口（孔）等易于向外泄漏的区域须设置和标识监测点位，并绘制出日常无组织控制巡测点位图。</w:t>
      </w:r>
    </w:p>
    <w:p w14:paraId="1E8B1E23">
      <w:pPr>
        <w:pStyle w:val="71"/>
        <w:spacing w:line="360" w:lineRule="auto"/>
        <w:ind w:right="0" w:firstLine="480" w:firstLineChars="200"/>
        <w:outlineLvl w:val="9"/>
        <w:rPr>
          <w:rFonts w:eastAsia="仿宋"/>
          <w:kern w:val="2"/>
          <w:szCs w:val="22"/>
        </w:rPr>
      </w:pPr>
      <w:r>
        <w:rPr>
          <w:rFonts w:hint="eastAsia" w:eastAsia="仿宋"/>
          <w:kern w:val="2"/>
          <w:szCs w:val="22"/>
        </w:rPr>
        <w:t>（</w:t>
      </w:r>
      <w:r>
        <w:rPr>
          <w:rFonts w:eastAsia="仿宋"/>
          <w:kern w:val="2"/>
          <w:szCs w:val="22"/>
        </w:rPr>
        <w:t>5</w:t>
      </w:r>
      <w:r>
        <w:rPr>
          <w:rFonts w:hint="eastAsia" w:eastAsia="仿宋"/>
          <w:kern w:val="2"/>
          <w:szCs w:val="22"/>
        </w:rPr>
        <w:t>）建立定期教育培训制度。对专业管理人员和技术人员进行培训，使其掌握治理设备及其它附属设施的具体操作和应急情况下的处理措施。</w:t>
      </w:r>
    </w:p>
    <w:p w14:paraId="5A0FF4D0">
      <w:pPr>
        <w:pStyle w:val="4"/>
        <w:spacing w:before="0" w:after="0"/>
      </w:pPr>
      <w:bookmarkStart w:id="449" w:name="_Toc12084"/>
      <w:bookmarkStart w:id="450" w:name="_Toc12053"/>
      <w:bookmarkStart w:id="451" w:name="_Toc3230"/>
      <w:bookmarkStart w:id="452" w:name="_Toc22648214"/>
      <w:bookmarkStart w:id="453" w:name="_Toc12297"/>
      <w:bookmarkStart w:id="454" w:name="_Toc80611478"/>
      <w:r>
        <w:t>6.9.2建立VOCs治理设施管理制度</w:t>
      </w:r>
      <w:bookmarkEnd w:id="449"/>
      <w:bookmarkEnd w:id="450"/>
      <w:bookmarkEnd w:id="451"/>
      <w:bookmarkEnd w:id="452"/>
      <w:bookmarkEnd w:id="453"/>
      <w:bookmarkEnd w:id="454"/>
    </w:p>
    <w:p w14:paraId="312FB012">
      <w:pPr>
        <w:pStyle w:val="9"/>
        <w:widowControl/>
        <w:ind w:firstLine="480"/>
        <w:outlineLvl w:val="9"/>
        <w:rPr>
          <w:szCs w:val="22"/>
          <w:lang w:eastAsia="zh-CN"/>
        </w:rPr>
      </w:pPr>
      <w:r>
        <w:rPr>
          <w:rFonts w:hint="eastAsia" w:ascii="Times New Roman" w:hAnsi="Times New Roman" w:eastAsia="仿宋"/>
          <w:kern w:val="2"/>
          <w:szCs w:val="22"/>
          <w:lang w:eastAsia="zh-CN"/>
        </w:rPr>
        <w:t>（</w:t>
      </w:r>
      <w:r>
        <w:rPr>
          <w:rFonts w:ascii="Times New Roman" w:hAnsi="Times New Roman" w:eastAsia="仿宋"/>
          <w:kern w:val="2"/>
          <w:szCs w:val="22"/>
          <w:lang w:eastAsia="zh-CN"/>
        </w:rPr>
        <w:t>1</w:t>
      </w:r>
      <w:r>
        <w:rPr>
          <w:rFonts w:hint="eastAsia" w:ascii="Times New Roman" w:hAnsi="Times New Roman" w:eastAsia="仿宋"/>
          <w:kern w:val="2"/>
          <w:szCs w:val="22"/>
          <w:lang w:eastAsia="zh-CN"/>
        </w:rPr>
        <w:t>）企业应对治理设施的正常运行和安全管理负责。治理设施的管理应纳入生产管理中，配备专业管理人员和技术人员，并配备安全应急救援人员和器械。</w:t>
      </w:r>
    </w:p>
    <w:p w14:paraId="0D827A95">
      <w:pPr>
        <w:pStyle w:val="9"/>
        <w:widowControl/>
        <w:ind w:firstLine="480"/>
        <w:outlineLvl w:val="9"/>
        <w:rPr>
          <w:szCs w:val="22"/>
          <w:lang w:eastAsia="zh-CN"/>
        </w:rPr>
      </w:pPr>
      <w:r>
        <w:rPr>
          <w:rFonts w:hint="eastAsia" w:ascii="Times New Roman" w:hAnsi="Times New Roman" w:eastAsia="仿宋"/>
          <w:kern w:val="2"/>
          <w:szCs w:val="22"/>
          <w:lang w:eastAsia="zh-CN"/>
        </w:rPr>
        <w:t>（</w:t>
      </w:r>
      <w:r>
        <w:rPr>
          <w:rFonts w:ascii="Times New Roman" w:hAnsi="Times New Roman" w:eastAsia="仿宋"/>
          <w:kern w:val="2"/>
          <w:szCs w:val="22"/>
          <w:lang w:eastAsia="zh-CN"/>
        </w:rPr>
        <w:t>2</w:t>
      </w:r>
      <w:r>
        <w:rPr>
          <w:rFonts w:hint="eastAsia" w:ascii="Times New Roman" w:hAnsi="Times New Roman" w:eastAsia="仿宋"/>
          <w:kern w:val="2"/>
          <w:szCs w:val="22"/>
          <w:lang w:eastAsia="zh-CN"/>
        </w:rPr>
        <w:t>）企业对非正常工况建立管理制度，一旦治理设施停运、突发环境事故等情况，企业应立即向当地生态环境主管部门进行汇报。</w:t>
      </w:r>
    </w:p>
    <w:p w14:paraId="21E0E4A9">
      <w:pPr>
        <w:pStyle w:val="4"/>
        <w:spacing w:before="0" w:after="0"/>
      </w:pPr>
      <w:bookmarkStart w:id="455" w:name="_Toc80611479"/>
      <w:bookmarkStart w:id="456" w:name="_Toc23091"/>
      <w:bookmarkStart w:id="457" w:name="_Toc32379"/>
      <w:bookmarkStart w:id="458" w:name="_Toc22648215"/>
      <w:bookmarkStart w:id="459" w:name="_Toc26140"/>
      <w:bookmarkStart w:id="460" w:name="_Toc2765"/>
      <w:r>
        <w:t>6.9.3建立并加强企业VOCs监测体系</w:t>
      </w:r>
      <w:bookmarkEnd w:id="455"/>
      <w:bookmarkEnd w:id="456"/>
      <w:bookmarkEnd w:id="457"/>
      <w:bookmarkEnd w:id="458"/>
      <w:bookmarkEnd w:id="459"/>
      <w:bookmarkEnd w:id="460"/>
    </w:p>
    <w:p w14:paraId="4BB0ECA1">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w:t>
      </w:r>
      <w:r>
        <w:rPr>
          <w:rFonts w:ascii="Times New Roman" w:hAnsi="Times New Roman" w:eastAsia="仿宋"/>
          <w:kern w:val="2"/>
          <w:szCs w:val="22"/>
          <w:lang w:eastAsia="zh-CN"/>
        </w:rPr>
        <w:t>1</w:t>
      </w:r>
      <w:r>
        <w:rPr>
          <w:rFonts w:hint="eastAsia" w:ascii="Times New Roman" w:hAnsi="Times New Roman" w:eastAsia="仿宋"/>
          <w:kern w:val="2"/>
          <w:szCs w:val="22"/>
          <w:lang w:eastAsia="zh-CN"/>
        </w:rPr>
        <w:t>）企业应按照有关法律、《环境监测管理办法》《排污单位自行监测技术指南</w:t>
      </w:r>
      <w:r>
        <w:rPr>
          <w:rFonts w:ascii="Times New Roman" w:hAnsi="Times New Roman" w:eastAsia="仿宋"/>
          <w:kern w:val="2"/>
          <w:szCs w:val="22"/>
          <w:lang w:eastAsia="zh-CN"/>
        </w:rPr>
        <w:t xml:space="preserve"> </w:t>
      </w:r>
      <w:r>
        <w:rPr>
          <w:rFonts w:hint="eastAsia" w:ascii="Times New Roman" w:hAnsi="Times New Roman" w:eastAsia="仿宋"/>
          <w:kern w:val="2"/>
          <w:szCs w:val="22"/>
          <w:lang w:eastAsia="zh-CN"/>
        </w:rPr>
        <w:t>涂装》（</w:t>
      </w:r>
      <w:r>
        <w:rPr>
          <w:rFonts w:ascii="Times New Roman" w:hAnsi="Times New Roman" w:eastAsia="仿宋"/>
          <w:kern w:val="2"/>
          <w:szCs w:val="22"/>
          <w:lang w:eastAsia="zh-CN"/>
        </w:rPr>
        <w:t>HJ 1086-2020</w:t>
      </w:r>
      <w:r>
        <w:rPr>
          <w:rFonts w:hint="eastAsia" w:ascii="Times New Roman" w:hAnsi="Times New Roman" w:eastAsia="仿宋"/>
          <w:kern w:val="2"/>
          <w:szCs w:val="22"/>
          <w:lang w:eastAsia="zh-CN"/>
        </w:rPr>
        <w:t>）、</w:t>
      </w:r>
      <w:r>
        <w:rPr>
          <w:rFonts w:ascii="Times New Roman" w:hAnsi="Times New Roman" w:eastAsia="仿宋"/>
          <w:kern w:val="2"/>
          <w:szCs w:val="22"/>
          <w:lang w:eastAsia="zh-CN"/>
        </w:rPr>
        <w:t>HJ 819</w:t>
      </w:r>
      <w:r>
        <w:rPr>
          <w:rFonts w:hint="eastAsia" w:ascii="Times New Roman" w:hAnsi="Times New Roman" w:eastAsia="仿宋"/>
          <w:kern w:val="2"/>
          <w:szCs w:val="22"/>
          <w:lang w:eastAsia="zh-CN"/>
        </w:rPr>
        <w:t>或相关行业规范等自行监测管理要求，企业应自行或委托第三方监测机构开展监测工作，建立企业监测制度，开展VOCs监测监控，企业自行监测方案应符合国家、地方相关管理要求。</w:t>
      </w:r>
    </w:p>
    <w:p w14:paraId="5D72B008">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w:t>
      </w:r>
      <w:r>
        <w:rPr>
          <w:rFonts w:ascii="Times New Roman" w:hAnsi="Times New Roman" w:eastAsia="仿宋"/>
          <w:kern w:val="2"/>
          <w:szCs w:val="22"/>
          <w:lang w:eastAsia="zh-CN"/>
        </w:rPr>
        <w:t>2</w:t>
      </w:r>
      <w:r>
        <w:rPr>
          <w:rFonts w:hint="eastAsia" w:ascii="Times New Roman" w:hAnsi="Times New Roman" w:eastAsia="仿宋"/>
          <w:kern w:val="2"/>
          <w:szCs w:val="22"/>
          <w:lang w:eastAsia="zh-CN"/>
        </w:rPr>
        <w:t>）纳入重点排污单位名录的，排污许可证规定的主要排污口安装自动监控设施。</w:t>
      </w:r>
    </w:p>
    <w:p w14:paraId="13D8110E">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（3）限产、停产、检修等非正常工况下，应保证自动监控设施正常运行。</w:t>
      </w:r>
    </w:p>
    <w:p w14:paraId="0DBEE83D">
      <w:pPr>
        <w:pStyle w:val="9"/>
        <w:ind w:firstLine="480" w:firstLineChars="200"/>
        <w:outlineLvl w:val="9"/>
        <w:rPr>
          <w:rFonts w:eastAsia="仿宋"/>
          <w:kern w:val="2"/>
          <w:szCs w:val="22"/>
          <w:lang w:eastAsia="zh-CN"/>
        </w:rPr>
      </w:pPr>
      <w:r>
        <w:rPr>
          <w:rFonts w:hint="eastAsia" w:eastAsia="仿宋"/>
          <w:kern w:val="2"/>
          <w:szCs w:val="22"/>
          <w:lang w:eastAsia="zh-CN"/>
        </w:rPr>
        <w:t>（</w:t>
      </w:r>
      <w:r>
        <w:rPr>
          <w:rFonts w:eastAsia="仿宋"/>
          <w:kern w:val="2"/>
          <w:szCs w:val="22"/>
          <w:lang w:eastAsia="zh-CN"/>
        </w:rPr>
        <w:t>4</w:t>
      </w:r>
      <w:r>
        <w:rPr>
          <w:rFonts w:hint="eastAsia" w:eastAsia="仿宋"/>
          <w:kern w:val="2"/>
          <w:szCs w:val="22"/>
          <w:lang w:eastAsia="zh-CN"/>
        </w:rPr>
        <w:t>）企业厂区内VOCs无组织排放监控按照GB</w:t>
      </w:r>
      <w:r>
        <w:rPr>
          <w:rFonts w:eastAsia="仿宋"/>
          <w:kern w:val="2"/>
          <w:szCs w:val="22"/>
          <w:lang w:eastAsia="zh-CN"/>
        </w:rPr>
        <w:t xml:space="preserve"> </w:t>
      </w:r>
      <w:r>
        <w:rPr>
          <w:rFonts w:hint="eastAsia" w:eastAsia="仿宋"/>
          <w:kern w:val="2"/>
          <w:szCs w:val="22"/>
          <w:lang w:eastAsia="zh-CN"/>
        </w:rPr>
        <w:t>37822-2019附录A规定执行。</w:t>
      </w:r>
    </w:p>
    <w:p w14:paraId="6FE023C1">
      <w:pPr>
        <w:pStyle w:val="4"/>
        <w:spacing w:before="0" w:after="0"/>
      </w:pPr>
      <w:bookmarkStart w:id="461" w:name="_Toc22648216"/>
      <w:bookmarkStart w:id="462" w:name="_Toc12914"/>
      <w:bookmarkStart w:id="463" w:name="_Toc27696"/>
      <w:bookmarkStart w:id="464" w:name="_Toc80611480"/>
      <w:bookmarkStart w:id="465" w:name="_Toc17978"/>
      <w:bookmarkStart w:id="466" w:name="_Toc21192"/>
      <w:r>
        <w:t>6.9.4做好VOCs控制台账记录工作</w:t>
      </w:r>
      <w:bookmarkEnd w:id="461"/>
      <w:bookmarkEnd w:id="462"/>
      <w:bookmarkEnd w:id="463"/>
      <w:bookmarkEnd w:id="464"/>
      <w:bookmarkEnd w:id="465"/>
      <w:bookmarkEnd w:id="466"/>
    </w:p>
    <w:p w14:paraId="04C89AC7">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企业应按照相应行业排污许可证申请与核发技术规范等国家、地方管理要求，做好VOCs治理工作相关记录台账，台账保存期限不少于5年，记录内容须包括：</w:t>
      </w:r>
    </w:p>
    <w:p w14:paraId="1EE67AEB">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 xml:space="preserve">（1）主要产品名称及其产量及涂装总面积等生产基本信息。 </w:t>
      </w:r>
    </w:p>
    <w:p w14:paraId="0B064CCF">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（2）含VOCs原辅材料（涂料、固化剂、稀释剂、胶黏剂、清洗剂等）名称及其VOCs含量，使用量、采购量、库存量，含VOCs原辅材料回收方式及回收量，废弃量及去向。</w:t>
      </w:r>
    </w:p>
    <w:p w14:paraId="0BBD66F6">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3）VOCs设施运行信息，包括废气收集方式、运行时间、运行关键性参数、运行废气收集、治理装置运行关键工艺控制参数，包括废气收集系统是否负压运行；废气收集、治理装置启动、停止时间；治理设备进、出口监测数据（废气量、浓度、温度、含氧量等）；气体燃烧温度、停留时间。</w:t>
      </w:r>
    </w:p>
    <w:p w14:paraId="7C23A2F6">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（4）耗材或药剂（过滤材料、吸附剂、催化剂、填充材料等）等的质量数据，包括采购量、使用量、填充量、更换量及更换周期等明细台账。</w:t>
      </w:r>
    </w:p>
    <w:p w14:paraId="7E2FAF06">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（5）非正常工况情况，包括设备异常起止时间、事件起因、维修、整改情况、污染物排放情况，以及是否向当地生态主管部门报告等情况。</w:t>
      </w:r>
    </w:p>
    <w:p w14:paraId="065A7C88">
      <w:pPr>
        <w:pStyle w:val="9"/>
        <w:widowControl/>
        <w:ind w:firstLine="480"/>
        <w:outlineLvl w:val="9"/>
        <w:rPr>
          <w:rFonts w:eastAsia="仿宋"/>
          <w:szCs w:val="22"/>
          <w:lang w:eastAsia="zh-CN"/>
        </w:rPr>
      </w:pPr>
      <w:r>
        <w:rPr>
          <w:rFonts w:hint="eastAsia" w:ascii="Times New Roman" w:hAnsi="Times New Roman" w:eastAsia="仿宋"/>
          <w:kern w:val="2"/>
          <w:szCs w:val="22"/>
          <w:lang w:eastAsia="zh-CN"/>
        </w:rPr>
        <w:t>（</w:t>
      </w:r>
      <w:r>
        <w:rPr>
          <w:rFonts w:ascii="Times New Roman" w:hAnsi="Times New Roman" w:eastAsia="仿宋"/>
          <w:kern w:val="2"/>
          <w:szCs w:val="22"/>
          <w:lang w:eastAsia="zh-CN"/>
        </w:rPr>
        <w:t>6</w:t>
      </w:r>
      <w:r>
        <w:rPr>
          <w:rFonts w:hint="eastAsia" w:ascii="Times New Roman" w:hAnsi="Times New Roman" w:eastAsia="仿宋"/>
          <w:kern w:val="2"/>
          <w:szCs w:val="22"/>
          <w:lang w:eastAsia="zh-CN"/>
        </w:rPr>
        <w:t xml:space="preserve">）一般固体废物、危险固体废物处置情况，包括产生量及处置去向等。 </w:t>
      </w:r>
    </w:p>
    <w:p w14:paraId="586830EA">
      <w:pPr>
        <w:pStyle w:val="9"/>
        <w:ind w:firstLine="480" w:firstLineChars="200"/>
        <w:outlineLvl w:val="9"/>
        <w:rPr>
          <w:sz w:val="21"/>
          <w:lang w:eastAsia="zh-CN"/>
        </w:rPr>
      </w:pPr>
      <w:r>
        <w:rPr>
          <w:rFonts w:hint="eastAsia" w:ascii="Times New Roman" w:hAnsi="Times New Roman" w:eastAsia="仿宋"/>
          <w:kern w:val="2"/>
          <w:szCs w:val="22"/>
          <w:lang w:eastAsia="zh-CN"/>
        </w:rPr>
        <w:t>（7）日常检修维护报告，包括更换耗材、仪表校准、清理存积物、设备定期检验评估等信</w:t>
      </w:r>
      <w:r>
        <w:rPr>
          <w:rFonts w:hint="eastAsia" w:ascii="Times New Roman" w:hAnsi="Times New Roman"/>
          <w:sz w:val="21"/>
          <w:lang w:eastAsia="zh-CN"/>
        </w:rPr>
        <w:t>息。</w:t>
      </w:r>
    </w:p>
    <w:p w14:paraId="413E6EF1">
      <w:pPr>
        <w:pStyle w:val="3"/>
        <w:spacing w:before="0" w:line="240" w:lineRule="auto"/>
        <w:rPr>
          <w:rFonts w:ascii="Times New Roman" w:hAnsi="Times New Roman"/>
        </w:rPr>
      </w:pPr>
      <w:bookmarkStart w:id="467" w:name="_Toc3119"/>
      <w:bookmarkStart w:id="468" w:name="_Toc32503"/>
      <w:bookmarkStart w:id="469" w:name="_Toc8599"/>
      <w:bookmarkStart w:id="470" w:name="_Toc9424"/>
      <w:bookmarkStart w:id="471" w:name="_Toc31116"/>
      <w:bookmarkStart w:id="472" w:name="_Toc18613"/>
      <w:bookmarkStart w:id="473" w:name="_Toc9178"/>
      <w:bookmarkStart w:id="474" w:name="_Toc20910"/>
      <w:r>
        <w:rPr>
          <w:rFonts w:ascii="Times New Roman" w:hAnsi="Times New Roman"/>
        </w:rPr>
        <w:t>6.10</w:t>
      </w:r>
      <w:r>
        <w:rPr>
          <w:rFonts w:hint="eastAsia" w:ascii="Times New Roman" w:hAnsi="Times New Roman"/>
        </w:rPr>
        <w:t>污染防治先进可行性技术</w:t>
      </w:r>
      <w:bookmarkEnd w:id="467"/>
      <w:bookmarkEnd w:id="468"/>
      <w:bookmarkEnd w:id="469"/>
      <w:bookmarkEnd w:id="470"/>
      <w:bookmarkEnd w:id="471"/>
      <w:bookmarkEnd w:id="472"/>
      <w:bookmarkEnd w:id="473"/>
      <w:bookmarkEnd w:id="474"/>
    </w:p>
    <w:p w14:paraId="1332DB8F">
      <w:pPr>
        <w:pStyle w:val="71"/>
        <w:spacing w:line="360" w:lineRule="auto"/>
        <w:ind w:right="0" w:firstLine="480" w:firstLineChars="200"/>
        <w:outlineLvl w:val="9"/>
        <w:rPr>
          <w:rFonts w:eastAsia="仿宋"/>
          <w:b/>
          <w:bCs/>
          <w:lang w:bidi="ar"/>
        </w:rPr>
        <w:sectPr>
          <w:footerReference r:id="rId9" w:type="default"/>
          <w:pgSz w:w="11910" w:h="16840"/>
          <w:pgMar w:top="1440" w:right="1800" w:bottom="1440" w:left="1800" w:header="1448" w:footer="1121" w:gutter="0"/>
          <w:cols w:space="720" w:num="1"/>
        </w:sectPr>
      </w:pPr>
      <w:r>
        <w:rPr>
          <w:rFonts w:hint="eastAsia" w:eastAsia="仿宋"/>
          <w:kern w:val="2"/>
          <w:szCs w:val="22"/>
        </w:rPr>
        <w:t>表面涂装行业常见的可行治理技术见下表</w:t>
      </w:r>
      <w:r>
        <w:rPr>
          <w:rFonts w:eastAsia="仿宋"/>
          <w:kern w:val="2"/>
          <w:szCs w:val="22"/>
        </w:rPr>
        <w:t>6.10-1</w:t>
      </w:r>
      <w:r>
        <w:rPr>
          <w:rFonts w:hint="eastAsia" w:eastAsia="仿宋"/>
          <w:kern w:val="2"/>
          <w:szCs w:val="22"/>
        </w:rPr>
        <w:t>。</w:t>
      </w:r>
    </w:p>
    <w:p w14:paraId="211DC5C8">
      <w:pPr>
        <w:widowControl/>
        <w:spacing w:line="240" w:lineRule="atLeast"/>
        <w:ind w:firstLine="482"/>
        <w:jc w:val="center"/>
        <w:rPr>
          <w:b/>
          <w:bCs/>
          <w:lang w:bidi="ar"/>
        </w:rPr>
      </w:pPr>
      <w:r>
        <w:rPr>
          <w:b/>
          <w:bCs/>
          <w:lang w:bidi="ar"/>
        </w:rPr>
        <w:t>表6.10-1  表面涂装行业常见的VOCs治理技术</w:t>
      </w:r>
    </w:p>
    <w:tbl>
      <w:tblPr>
        <w:tblStyle w:val="20"/>
        <w:tblW w:w="13266" w:type="dxa"/>
        <w:tblInd w:w="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1"/>
        <w:gridCol w:w="2251"/>
        <w:gridCol w:w="1938"/>
        <w:gridCol w:w="1409"/>
        <w:gridCol w:w="4967"/>
      </w:tblGrid>
      <w:tr w14:paraId="4078D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701" w:type="dxa"/>
            <w:vAlign w:val="center"/>
          </w:tcPr>
          <w:p w14:paraId="436C763E">
            <w:pPr>
              <w:widowControl/>
              <w:spacing w:line="240" w:lineRule="atLeast"/>
              <w:ind w:firstLine="0" w:firstLineChars="0"/>
              <w:jc w:val="center"/>
              <w:rPr>
                <w:b/>
                <w:bCs/>
                <w:lang w:bidi="ar"/>
              </w:rPr>
            </w:pPr>
            <w:r>
              <w:rPr>
                <w:rFonts w:hint="eastAsia"/>
                <w:b/>
                <w:bCs/>
                <w:lang w:bidi="ar"/>
              </w:rPr>
              <w:t>治理技术</w:t>
            </w:r>
          </w:p>
        </w:tc>
        <w:tc>
          <w:tcPr>
            <w:tcW w:w="2251" w:type="dxa"/>
            <w:vAlign w:val="center"/>
          </w:tcPr>
          <w:p w14:paraId="33010D9A">
            <w:pPr>
              <w:widowControl/>
              <w:spacing w:line="240" w:lineRule="atLeast"/>
              <w:ind w:firstLine="0" w:firstLineChars="0"/>
              <w:jc w:val="center"/>
              <w:rPr>
                <w:b/>
                <w:bCs/>
                <w:lang w:bidi="ar"/>
              </w:rPr>
            </w:pPr>
            <w:r>
              <w:rPr>
                <w:rFonts w:hint="eastAsia"/>
                <w:b/>
                <w:bCs/>
                <w:lang w:bidi="ar"/>
              </w:rPr>
              <w:t>适用VOCs浓度范围（mg/m</w:t>
            </w:r>
            <w:r>
              <w:rPr>
                <w:b/>
                <w:bCs/>
                <w:vertAlign w:val="superscript"/>
                <w:lang w:bidi="ar"/>
              </w:rPr>
              <w:t>3</w:t>
            </w:r>
            <w:r>
              <w:rPr>
                <w:rFonts w:hint="eastAsia"/>
                <w:b/>
                <w:bCs/>
                <w:lang w:bidi="ar"/>
              </w:rPr>
              <w:t>）</w:t>
            </w:r>
          </w:p>
        </w:tc>
        <w:tc>
          <w:tcPr>
            <w:tcW w:w="1938" w:type="dxa"/>
            <w:vAlign w:val="center"/>
          </w:tcPr>
          <w:p w14:paraId="4A73A80F">
            <w:pPr>
              <w:widowControl/>
              <w:spacing w:line="240" w:lineRule="atLeast"/>
              <w:ind w:firstLine="0" w:firstLineChars="0"/>
              <w:jc w:val="center"/>
              <w:rPr>
                <w:b/>
                <w:bCs/>
                <w:lang w:bidi="ar"/>
              </w:rPr>
            </w:pPr>
            <w:r>
              <w:rPr>
                <w:rFonts w:hint="eastAsia"/>
                <w:b/>
                <w:bCs/>
                <w:lang w:bidi="ar"/>
              </w:rPr>
              <w:t>适宜废气温度范围（℃）</w:t>
            </w:r>
          </w:p>
        </w:tc>
        <w:tc>
          <w:tcPr>
            <w:tcW w:w="1409" w:type="dxa"/>
            <w:vAlign w:val="center"/>
          </w:tcPr>
          <w:p w14:paraId="52031C7E">
            <w:pPr>
              <w:widowControl/>
              <w:spacing w:line="240" w:lineRule="atLeast"/>
              <w:ind w:firstLine="0" w:firstLineChars="0"/>
              <w:jc w:val="center"/>
              <w:rPr>
                <w:b/>
                <w:bCs/>
                <w:lang w:bidi="ar"/>
              </w:rPr>
            </w:pPr>
            <w:r>
              <w:rPr>
                <w:rFonts w:hint="eastAsia"/>
                <w:b/>
                <w:bCs/>
                <w:lang w:bidi="ar"/>
              </w:rPr>
              <w:t>可达处理效率（</w:t>
            </w:r>
            <w:r>
              <w:rPr>
                <w:b/>
                <w:bCs/>
                <w:lang w:bidi="ar"/>
              </w:rPr>
              <w:t>%</w:t>
            </w:r>
            <w:r>
              <w:rPr>
                <w:rFonts w:hint="eastAsia"/>
                <w:b/>
                <w:bCs/>
                <w:lang w:bidi="ar"/>
              </w:rPr>
              <w:t>）</w:t>
            </w:r>
          </w:p>
        </w:tc>
        <w:tc>
          <w:tcPr>
            <w:tcW w:w="4967" w:type="dxa"/>
            <w:vAlign w:val="center"/>
          </w:tcPr>
          <w:p w14:paraId="5C68EDD5">
            <w:pPr>
              <w:widowControl/>
              <w:spacing w:line="240" w:lineRule="atLeast"/>
              <w:ind w:firstLine="0" w:firstLineChars="0"/>
              <w:jc w:val="center"/>
              <w:rPr>
                <w:b/>
                <w:bCs/>
                <w:lang w:bidi="ar"/>
              </w:rPr>
            </w:pPr>
            <w:r>
              <w:rPr>
                <w:rFonts w:hint="eastAsia"/>
                <w:b/>
                <w:bCs/>
                <w:lang w:bidi="ar"/>
              </w:rPr>
              <w:t>备注</w:t>
            </w:r>
          </w:p>
        </w:tc>
      </w:tr>
      <w:tr w14:paraId="092C6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2701" w:type="dxa"/>
            <w:vAlign w:val="center"/>
          </w:tcPr>
          <w:p w14:paraId="7728A511">
            <w:pPr>
              <w:widowControl/>
              <w:spacing w:line="240" w:lineRule="atLeast"/>
              <w:ind w:firstLine="0" w:firstLineChars="0"/>
              <w:jc w:val="center"/>
              <w:rPr>
                <w:lang w:bidi="ar"/>
              </w:rPr>
            </w:pPr>
            <w:r>
              <w:rPr>
                <w:rFonts w:hint="eastAsia"/>
                <w:lang w:val="zh-TW" w:bidi="ar"/>
              </w:rPr>
              <w:t>活性炭吸附</w:t>
            </w:r>
            <w:r>
              <w:rPr>
                <w:rFonts w:hint="eastAsia"/>
                <w:lang w:bidi="ar"/>
              </w:rPr>
              <w:t>+吸附回收</w:t>
            </w:r>
          </w:p>
        </w:tc>
        <w:tc>
          <w:tcPr>
            <w:tcW w:w="2251" w:type="dxa"/>
            <w:vAlign w:val="center"/>
          </w:tcPr>
          <w:p w14:paraId="6D516A7E">
            <w:pPr>
              <w:widowControl/>
              <w:spacing w:line="240" w:lineRule="atLeast"/>
              <w:ind w:firstLine="0" w:firstLineChars="0"/>
              <w:jc w:val="center"/>
              <w:rPr>
                <w:lang w:val="zh-TW" w:bidi="ar"/>
              </w:rPr>
            </w:pPr>
            <w:r>
              <w:rPr>
                <w:lang w:val="zh-TW" w:bidi="ar"/>
              </w:rPr>
              <w:t>&lt;500</w:t>
            </w:r>
          </w:p>
        </w:tc>
        <w:tc>
          <w:tcPr>
            <w:tcW w:w="1938" w:type="dxa"/>
            <w:vAlign w:val="center"/>
          </w:tcPr>
          <w:p w14:paraId="676F6493">
            <w:pPr>
              <w:widowControl/>
              <w:spacing w:line="240" w:lineRule="atLeast"/>
              <w:ind w:firstLine="0" w:firstLineChars="0"/>
              <w:jc w:val="center"/>
              <w:rPr>
                <w:lang w:val="zh-TW" w:bidi="ar"/>
              </w:rPr>
            </w:pPr>
            <w:r>
              <w:rPr>
                <w:lang w:val="zh-TW" w:bidi="ar"/>
              </w:rPr>
              <w:t>&lt;40</w:t>
            </w:r>
          </w:p>
        </w:tc>
        <w:tc>
          <w:tcPr>
            <w:tcW w:w="1409" w:type="dxa"/>
            <w:vAlign w:val="center"/>
          </w:tcPr>
          <w:p w14:paraId="37723E89">
            <w:pPr>
              <w:widowControl/>
              <w:spacing w:line="240" w:lineRule="atLeast"/>
              <w:ind w:firstLine="0" w:firstLineChars="0"/>
              <w:jc w:val="center"/>
              <w:rPr>
                <w:lang w:val="zh-TW" w:bidi="ar"/>
              </w:rPr>
            </w:pPr>
            <w:r>
              <w:rPr>
                <w:lang w:val="zh-TW" w:bidi="ar"/>
              </w:rPr>
              <w:t>60</w:t>
            </w:r>
            <w:r>
              <w:t>~</w:t>
            </w:r>
            <w:r>
              <w:rPr>
                <w:lang w:val="zh-TW" w:bidi="ar"/>
              </w:rPr>
              <w:t>70</w:t>
            </w:r>
          </w:p>
        </w:tc>
        <w:tc>
          <w:tcPr>
            <w:tcW w:w="4967" w:type="dxa"/>
            <w:vAlign w:val="center"/>
          </w:tcPr>
          <w:p w14:paraId="34D5CD29">
            <w:pPr>
              <w:widowControl/>
              <w:spacing w:line="240" w:lineRule="atLeast"/>
              <w:ind w:firstLine="0" w:firstLineChars="0"/>
              <w:jc w:val="center"/>
              <w:rPr>
                <w:lang w:val="zh-TW" w:bidi="ar"/>
              </w:rPr>
            </w:pPr>
            <w:r>
              <w:rPr>
                <w:rFonts w:hint="eastAsia"/>
                <w:lang w:val="zh-TW" w:bidi="ar"/>
              </w:rPr>
              <w:t>不适用处理容易发生聚合、氧化反应或含有难脱附物质的废气</w:t>
            </w:r>
          </w:p>
        </w:tc>
      </w:tr>
      <w:tr w14:paraId="7B57D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701" w:type="dxa"/>
            <w:vAlign w:val="center"/>
          </w:tcPr>
          <w:p w14:paraId="08118EF5">
            <w:pPr>
              <w:widowControl/>
              <w:spacing w:line="240" w:lineRule="atLeast"/>
              <w:ind w:firstLine="0" w:firstLineChars="0"/>
              <w:jc w:val="center"/>
              <w:rPr>
                <w:lang w:val="zh-TW" w:bidi="ar"/>
              </w:rPr>
            </w:pPr>
            <w:r>
              <w:rPr>
                <w:rFonts w:hint="eastAsia"/>
                <w:lang w:val="zh-TW" w:bidi="ar"/>
              </w:rPr>
              <w:t>吸附-脱附冷凝</w:t>
            </w:r>
          </w:p>
        </w:tc>
        <w:tc>
          <w:tcPr>
            <w:tcW w:w="2251" w:type="dxa"/>
            <w:vAlign w:val="center"/>
          </w:tcPr>
          <w:p w14:paraId="24A60A13">
            <w:pPr>
              <w:widowControl/>
              <w:spacing w:line="240" w:lineRule="atLeast"/>
              <w:ind w:firstLine="0" w:firstLineChars="0"/>
              <w:jc w:val="center"/>
              <w:rPr>
                <w:lang w:val="zh-TW" w:bidi="ar"/>
              </w:rPr>
            </w:pPr>
            <w:r>
              <w:rPr>
                <w:lang w:val="zh-TW" w:bidi="ar"/>
              </w:rPr>
              <w:t>100</w:t>
            </w:r>
            <w:r>
              <w:t>~</w:t>
            </w:r>
            <w:r>
              <w:rPr>
                <w:lang w:val="zh-TW" w:bidi="ar"/>
              </w:rPr>
              <w:t>2000</w:t>
            </w:r>
          </w:p>
        </w:tc>
        <w:tc>
          <w:tcPr>
            <w:tcW w:w="1938" w:type="dxa"/>
            <w:vAlign w:val="center"/>
          </w:tcPr>
          <w:p w14:paraId="10DD2FCE">
            <w:pPr>
              <w:widowControl/>
              <w:spacing w:line="240" w:lineRule="atLeast"/>
              <w:ind w:firstLine="0" w:firstLineChars="0"/>
              <w:jc w:val="center"/>
              <w:rPr>
                <w:lang w:val="zh-TW" w:bidi="ar"/>
              </w:rPr>
            </w:pPr>
            <w:r>
              <w:rPr>
                <w:lang w:val="zh-TW" w:bidi="ar"/>
              </w:rPr>
              <w:t>&lt;45</w:t>
            </w:r>
          </w:p>
        </w:tc>
        <w:tc>
          <w:tcPr>
            <w:tcW w:w="1409" w:type="dxa"/>
            <w:vAlign w:val="center"/>
          </w:tcPr>
          <w:p w14:paraId="107FAE75">
            <w:pPr>
              <w:widowControl/>
              <w:spacing w:line="240" w:lineRule="atLeast"/>
              <w:ind w:firstLine="0" w:firstLineChars="0"/>
              <w:jc w:val="center"/>
              <w:rPr>
                <w:lang w:val="zh-TW" w:bidi="ar"/>
              </w:rPr>
            </w:pPr>
            <w:r>
              <w:rPr>
                <w:lang w:val="zh-TW" w:bidi="ar"/>
              </w:rPr>
              <w:t>50</w:t>
            </w:r>
            <w:r>
              <w:t>~</w:t>
            </w:r>
            <w:r>
              <w:rPr>
                <w:lang w:val="zh-TW" w:bidi="ar"/>
              </w:rPr>
              <w:t>70</w:t>
            </w:r>
          </w:p>
        </w:tc>
        <w:tc>
          <w:tcPr>
            <w:tcW w:w="4967" w:type="dxa"/>
            <w:vAlign w:val="center"/>
          </w:tcPr>
          <w:p w14:paraId="0D546FF6">
            <w:pPr>
              <w:widowControl/>
              <w:spacing w:line="240" w:lineRule="atLeast"/>
              <w:ind w:firstLine="0" w:firstLineChars="0"/>
              <w:jc w:val="center"/>
              <w:rPr>
                <w:lang w:val="zh-TW" w:bidi="ar"/>
              </w:rPr>
            </w:pPr>
            <w:r>
              <w:rPr>
                <w:rFonts w:hint="eastAsia"/>
                <w:lang w:val="zh-TW" w:bidi="ar"/>
              </w:rPr>
              <w:t>①使用溶剂有一定回收价值②需要低温冷凝，能耗高，占地面积大。</w:t>
            </w:r>
          </w:p>
        </w:tc>
      </w:tr>
      <w:tr w14:paraId="45B72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2701" w:type="dxa"/>
            <w:vAlign w:val="center"/>
          </w:tcPr>
          <w:p w14:paraId="75202EE6">
            <w:pPr>
              <w:widowControl/>
              <w:spacing w:line="240" w:lineRule="atLeast"/>
              <w:ind w:firstLine="0" w:firstLineChars="0"/>
              <w:jc w:val="center"/>
              <w:rPr>
                <w:lang w:val="zh-TW" w:bidi="ar"/>
              </w:rPr>
            </w:pPr>
            <w:r>
              <w:rPr>
                <w:rFonts w:hint="eastAsia"/>
                <w:lang w:val="zh-TW" w:bidi="ar"/>
              </w:rPr>
              <w:t>蓄热式直接燃烧法（RTO）</w:t>
            </w:r>
          </w:p>
        </w:tc>
        <w:tc>
          <w:tcPr>
            <w:tcW w:w="2251" w:type="dxa"/>
            <w:vAlign w:val="center"/>
          </w:tcPr>
          <w:p w14:paraId="6EB4182D">
            <w:pPr>
              <w:widowControl/>
              <w:spacing w:line="240" w:lineRule="atLeast"/>
              <w:ind w:firstLine="0" w:firstLineChars="0"/>
              <w:jc w:val="center"/>
              <w:rPr>
                <w:lang w:val="zh-TW" w:bidi="ar"/>
              </w:rPr>
            </w:pPr>
            <w:r>
              <w:rPr>
                <w:lang w:val="zh-TW" w:bidi="ar"/>
              </w:rPr>
              <w:t>1000</w:t>
            </w:r>
            <w:r>
              <w:t>~</w:t>
            </w:r>
            <w:r>
              <w:rPr>
                <w:lang w:val="zh-TW" w:bidi="ar"/>
              </w:rPr>
              <w:t>1/4LEL</w:t>
            </w:r>
          </w:p>
        </w:tc>
        <w:tc>
          <w:tcPr>
            <w:tcW w:w="1938" w:type="dxa"/>
            <w:vAlign w:val="center"/>
          </w:tcPr>
          <w:p w14:paraId="0E106279">
            <w:pPr>
              <w:widowControl/>
              <w:spacing w:line="240" w:lineRule="atLeast"/>
              <w:ind w:firstLine="0" w:firstLineChars="0"/>
              <w:jc w:val="center"/>
              <w:rPr>
                <w:lang w:val="zh-TW" w:bidi="ar"/>
              </w:rPr>
            </w:pPr>
            <w:r>
              <w:rPr>
                <w:lang w:val="zh-TW" w:bidi="ar"/>
              </w:rPr>
              <w:t>&lt;700</w:t>
            </w:r>
          </w:p>
        </w:tc>
        <w:tc>
          <w:tcPr>
            <w:tcW w:w="1409" w:type="dxa"/>
            <w:vAlign w:val="center"/>
          </w:tcPr>
          <w:p w14:paraId="259E73A1">
            <w:pPr>
              <w:widowControl/>
              <w:spacing w:line="240" w:lineRule="atLeast"/>
              <w:ind w:firstLine="0" w:firstLineChars="0"/>
              <w:jc w:val="center"/>
              <w:rPr>
                <w:lang w:val="zh-TW" w:bidi="ar"/>
              </w:rPr>
            </w:pPr>
            <w:r>
              <w:rPr>
                <w:rFonts w:hint="eastAsia"/>
                <w:lang w:val="zh-TW" w:bidi="ar"/>
              </w:rPr>
              <w:t>≥90</w:t>
            </w:r>
          </w:p>
        </w:tc>
        <w:tc>
          <w:tcPr>
            <w:tcW w:w="4967" w:type="dxa"/>
            <w:vAlign w:val="center"/>
          </w:tcPr>
          <w:p w14:paraId="4AC6BFC1">
            <w:pPr>
              <w:widowControl/>
              <w:spacing w:line="240" w:lineRule="atLeast"/>
              <w:ind w:firstLine="0" w:firstLineChars="0"/>
              <w:jc w:val="center"/>
              <w:rPr>
                <w:lang w:val="zh-TW" w:bidi="ar"/>
              </w:rPr>
            </w:pPr>
            <w:r>
              <w:rPr>
                <w:rFonts w:hint="eastAsia"/>
                <w:lang w:val="zh-TW" w:bidi="ar"/>
              </w:rPr>
              <w:t>只适用于高浓度的废气。</w:t>
            </w:r>
          </w:p>
        </w:tc>
      </w:tr>
      <w:tr w14:paraId="479DC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2701" w:type="dxa"/>
            <w:vAlign w:val="center"/>
          </w:tcPr>
          <w:p w14:paraId="1E82AC20">
            <w:pPr>
              <w:widowControl/>
              <w:spacing w:line="240" w:lineRule="atLeast"/>
              <w:ind w:firstLine="0" w:firstLineChars="0"/>
              <w:jc w:val="center"/>
              <w:rPr>
                <w:lang w:val="zh-TW" w:bidi="ar"/>
              </w:rPr>
            </w:pPr>
            <w:r>
              <w:rPr>
                <w:rFonts w:hint="eastAsia"/>
                <w:lang w:val="zh-TW" w:bidi="ar"/>
              </w:rPr>
              <w:t>蓄热催化燃烧（RCO）</w:t>
            </w:r>
          </w:p>
        </w:tc>
        <w:tc>
          <w:tcPr>
            <w:tcW w:w="2251" w:type="dxa"/>
            <w:vAlign w:val="center"/>
          </w:tcPr>
          <w:p w14:paraId="16120DFC">
            <w:pPr>
              <w:widowControl/>
              <w:spacing w:line="240" w:lineRule="atLeast"/>
              <w:ind w:firstLine="0" w:firstLineChars="0"/>
              <w:jc w:val="center"/>
              <w:rPr>
                <w:lang w:val="zh-TW" w:bidi="ar"/>
              </w:rPr>
            </w:pPr>
            <w:r>
              <w:rPr>
                <w:lang w:val="zh-TW" w:bidi="ar"/>
              </w:rPr>
              <w:t>&lt;200</w:t>
            </w:r>
          </w:p>
        </w:tc>
        <w:tc>
          <w:tcPr>
            <w:tcW w:w="1938" w:type="dxa"/>
            <w:vAlign w:val="center"/>
          </w:tcPr>
          <w:p w14:paraId="4DAF4587">
            <w:pPr>
              <w:widowControl/>
              <w:spacing w:line="240" w:lineRule="atLeast"/>
              <w:ind w:firstLine="0" w:firstLineChars="0"/>
              <w:jc w:val="center"/>
              <w:rPr>
                <w:lang w:val="zh-TW" w:bidi="ar"/>
              </w:rPr>
            </w:pPr>
            <w:r>
              <w:rPr>
                <w:lang w:val="zh-TW" w:bidi="ar"/>
              </w:rPr>
              <w:t>&lt;40</w:t>
            </w:r>
          </w:p>
        </w:tc>
        <w:tc>
          <w:tcPr>
            <w:tcW w:w="1409" w:type="dxa"/>
            <w:vAlign w:val="center"/>
          </w:tcPr>
          <w:p w14:paraId="580B22BC">
            <w:pPr>
              <w:widowControl/>
              <w:spacing w:line="240" w:lineRule="atLeast"/>
              <w:ind w:firstLine="0" w:firstLineChars="0"/>
              <w:jc w:val="center"/>
              <w:rPr>
                <w:lang w:val="zh-TW" w:bidi="ar"/>
              </w:rPr>
            </w:pPr>
            <w:r>
              <w:rPr>
                <w:rFonts w:hint="eastAsia"/>
                <w:lang w:val="zh-TW" w:bidi="ar"/>
              </w:rPr>
              <w:t>≥85</w:t>
            </w:r>
          </w:p>
        </w:tc>
        <w:tc>
          <w:tcPr>
            <w:tcW w:w="4967" w:type="dxa"/>
            <w:vAlign w:val="center"/>
          </w:tcPr>
          <w:p w14:paraId="3E406635">
            <w:pPr>
              <w:widowControl/>
              <w:spacing w:line="240" w:lineRule="atLeast"/>
              <w:ind w:firstLine="0" w:firstLineChars="0"/>
              <w:jc w:val="center"/>
              <w:rPr>
                <w:lang w:val="zh-TW" w:bidi="ar"/>
              </w:rPr>
            </w:pPr>
            <w:r>
              <w:rPr>
                <w:rFonts w:hint="eastAsia"/>
                <w:lang w:val="zh-TW" w:bidi="ar"/>
              </w:rPr>
              <w:t>需要考虑催化剂</w:t>
            </w:r>
            <w:r>
              <w:rPr>
                <w:rFonts w:hint="eastAsia"/>
                <w:lang w:bidi="ar"/>
              </w:rPr>
              <w:t>中毒</w:t>
            </w:r>
            <w:r>
              <w:rPr>
                <w:rFonts w:hint="eastAsia"/>
                <w:lang w:val="zh-TW" w:bidi="ar"/>
              </w:rPr>
              <w:t>问题</w:t>
            </w:r>
          </w:p>
        </w:tc>
      </w:tr>
      <w:tr w14:paraId="3F58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2701" w:type="dxa"/>
            <w:vAlign w:val="center"/>
          </w:tcPr>
          <w:p w14:paraId="0ABE6080">
            <w:pPr>
              <w:widowControl/>
              <w:spacing w:line="240" w:lineRule="atLeast"/>
              <w:ind w:firstLine="0" w:firstLineChars="0"/>
              <w:jc w:val="center"/>
              <w:rPr>
                <w:lang w:val="zh-TW" w:bidi="ar"/>
              </w:rPr>
            </w:pPr>
            <w:r>
              <w:rPr>
                <w:rFonts w:hint="eastAsia"/>
                <w:lang w:val="zh-TW" w:bidi="ar"/>
              </w:rPr>
              <w:t>沸石转轮-蓄热燃烧法</w:t>
            </w:r>
          </w:p>
        </w:tc>
        <w:tc>
          <w:tcPr>
            <w:tcW w:w="2251" w:type="dxa"/>
            <w:vAlign w:val="center"/>
          </w:tcPr>
          <w:p w14:paraId="4488D4B5">
            <w:pPr>
              <w:widowControl/>
              <w:spacing w:line="240" w:lineRule="atLeast"/>
              <w:ind w:firstLine="0" w:firstLineChars="0"/>
              <w:jc w:val="center"/>
              <w:rPr>
                <w:lang w:val="zh-TW" w:bidi="ar"/>
              </w:rPr>
            </w:pPr>
            <w:r>
              <w:rPr>
                <w:lang w:val="zh-TW" w:bidi="ar"/>
              </w:rPr>
              <w:t>100</w:t>
            </w:r>
            <w:r>
              <w:t>~</w:t>
            </w:r>
            <w:r>
              <w:rPr>
                <w:lang w:val="zh-TW" w:bidi="ar"/>
              </w:rPr>
              <w:t>2000</w:t>
            </w:r>
          </w:p>
        </w:tc>
        <w:tc>
          <w:tcPr>
            <w:tcW w:w="1938" w:type="dxa"/>
            <w:vAlign w:val="center"/>
          </w:tcPr>
          <w:p w14:paraId="50550529">
            <w:pPr>
              <w:widowControl/>
              <w:spacing w:line="240" w:lineRule="atLeast"/>
              <w:ind w:firstLine="0" w:firstLineChars="0"/>
              <w:jc w:val="center"/>
              <w:rPr>
                <w:lang w:val="zh-TW" w:bidi="ar"/>
              </w:rPr>
            </w:pPr>
            <w:r>
              <w:rPr>
                <w:lang w:val="zh-TW" w:bidi="ar"/>
              </w:rPr>
              <w:t>&lt;40</w:t>
            </w:r>
          </w:p>
        </w:tc>
        <w:tc>
          <w:tcPr>
            <w:tcW w:w="1409" w:type="dxa"/>
            <w:vAlign w:val="center"/>
          </w:tcPr>
          <w:p w14:paraId="68B3D4D4">
            <w:pPr>
              <w:widowControl/>
              <w:spacing w:line="240" w:lineRule="atLeast"/>
              <w:ind w:firstLine="0" w:firstLineChars="0"/>
              <w:jc w:val="center"/>
              <w:rPr>
                <w:lang w:val="zh-TW" w:bidi="ar"/>
              </w:rPr>
            </w:pPr>
            <w:r>
              <w:rPr>
                <w:rFonts w:hint="eastAsia"/>
                <w:lang w:val="zh-TW" w:bidi="ar"/>
              </w:rPr>
              <w:t>≥85</w:t>
            </w:r>
          </w:p>
        </w:tc>
        <w:tc>
          <w:tcPr>
            <w:tcW w:w="4967" w:type="dxa"/>
            <w:vAlign w:val="center"/>
          </w:tcPr>
          <w:p w14:paraId="55F8A82C">
            <w:pPr>
              <w:widowControl/>
              <w:spacing w:line="240" w:lineRule="atLeast"/>
              <w:ind w:firstLine="0" w:firstLineChars="0"/>
              <w:jc w:val="center"/>
              <w:rPr>
                <w:lang w:val="zh-TW" w:bidi="ar"/>
              </w:rPr>
            </w:pPr>
            <w:r>
              <w:rPr>
                <w:rFonts w:hint="eastAsia"/>
                <w:lang w:val="zh-TW" w:bidi="ar"/>
              </w:rPr>
              <w:t>适用大风量的有机废气。</w:t>
            </w:r>
          </w:p>
        </w:tc>
      </w:tr>
      <w:tr w14:paraId="73701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701" w:type="dxa"/>
            <w:vAlign w:val="center"/>
          </w:tcPr>
          <w:p w14:paraId="4434780F">
            <w:pPr>
              <w:widowControl/>
              <w:spacing w:line="240" w:lineRule="atLeast"/>
              <w:ind w:firstLine="0" w:firstLineChars="0"/>
              <w:jc w:val="center"/>
              <w:rPr>
                <w:lang w:val="zh-TW" w:bidi="ar"/>
              </w:rPr>
            </w:pPr>
            <w:r>
              <w:rPr>
                <w:rFonts w:hint="eastAsia"/>
                <w:lang w:val="zh-TW" w:bidi="ar"/>
              </w:rPr>
              <w:t>活性炭吸附-催化燃烧</w:t>
            </w:r>
          </w:p>
        </w:tc>
        <w:tc>
          <w:tcPr>
            <w:tcW w:w="2251" w:type="dxa"/>
            <w:vAlign w:val="center"/>
          </w:tcPr>
          <w:p w14:paraId="2BEEC047">
            <w:pPr>
              <w:widowControl/>
              <w:spacing w:line="240" w:lineRule="atLeast"/>
              <w:ind w:firstLine="0" w:firstLineChars="0"/>
              <w:jc w:val="center"/>
              <w:rPr>
                <w:lang w:val="zh-TW" w:bidi="ar"/>
              </w:rPr>
            </w:pPr>
            <w:r>
              <w:rPr>
                <w:lang w:val="zh-TW" w:bidi="ar"/>
              </w:rPr>
              <w:t>&lt;200</w:t>
            </w:r>
          </w:p>
        </w:tc>
        <w:tc>
          <w:tcPr>
            <w:tcW w:w="1938" w:type="dxa"/>
            <w:vAlign w:val="center"/>
          </w:tcPr>
          <w:p w14:paraId="01531BB2">
            <w:pPr>
              <w:widowControl/>
              <w:spacing w:line="240" w:lineRule="atLeast"/>
              <w:ind w:firstLine="0" w:firstLineChars="0"/>
              <w:jc w:val="center"/>
              <w:rPr>
                <w:lang w:val="zh-TW" w:bidi="ar"/>
              </w:rPr>
            </w:pPr>
            <w:r>
              <w:rPr>
                <w:lang w:val="zh-TW" w:bidi="ar"/>
              </w:rPr>
              <w:t>&lt;40</w:t>
            </w:r>
          </w:p>
        </w:tc>
        <w:tc>
          <w:tcPr>
            <w:tcW w:w="1409" w:type="dxa"/>
            <w:vAlign w:val="center"/>
          </w:tcPr>
          <w:p w14:paraId="6C5A1C1B">
            <w:pPr>
              <w:widowControl/>
              <w:spacing w:line="240" w:lineRule="atLeast"/>
              <w:ind w:firstLine="0" w:firstLineChars="0"/>
              <w:jc w:val="center"/>
              <w:rPr>
                <w:lang w:bidi="ar"/>
              </w:rPr>
            </w:pPr>
            <w:r>
              <w:rPr>
                <w:rFonts w:hint="eastAsia"/>
                <w:lang w:val="zh-TW" w:bidi="ar"/>
              </w:rPr>
              <w:t>≥</w:t>
            </w:r>
            <w:r>
              <w:rPr>
                <w:lang w:bidi="ar"/>
              </w:rPr>
              <w:t>90</w:t>
            </w:r>
          </w:p>
        </w:tc>
        <w:tc>
          <w:tcPr>
            <w:tcW w:w="4967" w:type="dxa"/>
            <w:vAlign w:val="center"/>
          </w:tcPr>
          <w:p w14:paraId="57F52A99">
            <w:pPr>
              <w:widowControl/>
              <w:spacing w:line="240" w:lineRule="atLeast"/>
              <w:ind w:firstLine="0" w:firstLineChars="0"/>
              <w:jc w:val="center"/>
              <w:rPr>
                <w:lang w:val="zh-TW" w:bidi="ar"/>
              </w:rPr>
            </w:pPr>
            <w:r>
              <w:rPr>
                <w:rFonts w:hint="eastAsia"/>
                <w:lang w:val="zh-TW" w:bidi="ar"/>
              </w:rPr>
              <w:t>①操作较稳定②吸附后的活性炭、催化剂属于危废</w:t>
            </w:r>
          </w:p>
        </w:tc>
      </w:tr>
    </w:tbl>
    <w:p w14:paraId="2F735FE3">
      <w:pPr>
        <w:pStyle w:val="71"/>
        <w:spacing w:line="360" w:lineRule="auto"/>
        <w:ind w:right="0" w:firstLine="480" w:firstLineChars="200"/>
        <w:outlineLvl w:val="9"/>
        <w:rPr>
          <w:rFonts w:eastAsia="仿宋"/>
          <w:kern w:val="2"/>
          <w:szCs w:val="22"/>
        </w:rPr>
        <w:sectPr>
          <w:footerReference r:id="rId10" w:type="default"/>
          <w:pgSz w:w="16840" w:h="11907" w:orient="landscape"/>
          <w:pgMar w:top="1440" w:right="1800" w:bottom="1440" w:left="1800" w:header="851" w:footer="992" w:gutter="0"/>
          <w:cols w:space="0" w:num="1"/>
          <w:docGrid w:linePitch="326" w:charSpace="0"/>
        </w:sectPr>
      </w:pPr>
    </w:p>
    <w:p w14:paraId="78324A86">
      <w:pPr>
        <w:pStyle w:val="2"/>
        <w:spacing w:before="0" w:after="0"/>
        <w:jc w:val="center"/>
        <w:rPr>
          <w:szCs w:val="21"/>
        </w:rPr>
      </w:pPr>
      <w:bookmarkStart w:id="475" w:name="_Toc28679"/>
      <w:bookmarkStart w:id="476" w:name="_Toc11635"/>
      <w:bookmarkStart w:id="477" w:name="_Toc4429"/>
      <w:bookmarkStart w:id="478" w:name="_Toc3796"/>
      <w:bookmarkStart w:id="479" w:name="_Toc4227"/>
      <w:bookmarkStart w:id="480" w:name="_Toc396"/>
      <w:bookmarkStart w:id="481" w:name="_Toc14659"/>
      <w:bookmarkStart w:id="482" w:name="_Toc18796"/>
      <w:bookmarkStart w:id="483" w:name="_Toc13742"/>
      <w:bookmarkStart w:id="484" w:name="_Toc6956"/>
      <w:bookmarkStart w:id="485" w:name="_Toc525723240"/>
      <w:r>
        <w:rPr>
          <w:szCs w:val="21"/>
        </w:rPr>
        <w:t>7标准</w:t>
      </w:r>
      <w:r>
        <w:rPr>
          <w:rFonts w:hint="eastAsia"/>
          <w:szCs w:val="21"/>
        </w:rPr>
        <w:t>本标准的环境-效益分析</w:t>
      </w:r>
      <w:bookmarkEnd w:id="475"/>
      <w:bookmarkEnd w:id="476"/>
      <w:bookmarkEnd w:id="477"/>
      <w:bookmarkEnd w:id="478"/>
      <w:bookmarkEnd w:id="479"/>
      <w:bookmarkEnd w:id="480"/>
      <w:bookmarkEnd w:id="481"/>
    </w:p>
    <w:bookmarkEnd w:id="482"/>
    <w:bookmarkEnd w:id="483"/>
    <w:bookmarkEnd w:id="484"/>
    <w:p w14:paraId="3C61E653">
      <w:pPr>
        <w:pStyle w:val="3"/>
        <w:rPr>
          <w:rFonts w:ascii="Times New Roman" w:hAnsi="Times New Roman"/>
        </w:rPr>
      </w:pPr>
      <w:bookmarkStart w:id="486" w:name="_Toc31945"/>
      <w:bookmarkStart w:id="487" w:name="_Toc9342"/>
      <w:bookmarkStart w:id="488" w:name="_Toc20616"/>
      <w:bookmarkStart w:id="489" w:name="_Toc21304"/>
      <w:bookmarkStart w:id="490" w:name="_Toc2877"/>
      <w:bookmarkStart w:id="491" w:name="_Toc18051"/>
      <w:bookmarkStart w:id="492" w:name="_Toc27951"/>
      <w:bookmarkStart w:id="493" w:name="_Toc13671131"/>
      <w:bookmarkStart w:id="494" w:name="_Toc526952478"/>
      <w:bookmarkStart w:id="495" w:name="_Toc526952216"/>
      <w:r>
        <w:rPr>
          <w:rFonts w:ascii="Times New Roman" w:hAnsi="Times New Roman"/>
        </w:rPr>
        <w:t>7.1</w:t>
      </w:r>
      <w:bookmarkEnd w:id="486"/>
      <w:r>
        <w:rPr>
          <w:rFonts w:hint="eastAsia" w:ascii="Times New Roman" w:hAnsi="Times New Roman"/>
        </w:rPr>
        <w:t>环境效益分析</w:t>
      </w:r>
      <w:bookmarkEnd w:id="487"/>
      <w:bookmarkEnd w:id="488"/>
      <w:bookmarkEnd w:id="489"/>
      <w:bookmarkEnd w:id="490"/>
      <w:bookmarkEnd w:id="491"/>
      <w:bookmarkEnd w:id="492"/>
    </w:p>
    <w:bookmarkEnd w:id="493"/>
    <w:bookmarkEnd w:id="494"/>
    <w:bookmarkEnd w:id="495"/>
    <w:p w14:paraId="12CDCA82">
      <w:pPr>
        <w:pStyle w:val="71"/>
        <w:spacing w:line="360" w:lineRule="auto"/>
        <w:ind w:right="0" w:firstLine="480" w:firstLineChars="200"/>
        <w:outlineLvl w:val="9"/>
        <w:rPr>
          <w:rFonts w:eastAsia="仿宋"/>
          <w:kern w:val="2"/>
          <w:szCs w:val="22"/>
        </w:rPr>
      </w:pPr>
      <w:r>
        <w:rPr>
          <w:rFonts w:hint="eastAsia" w:eastAsia="仿宋"/>
          <w:kern w:val="2"/>
          <w:szCs w:val="22"/>
        </w:rPr>
        <w:t>本标准的实施能够科学指导我省表面涂装企业挥发性有机物的污染防治，全面有效推动企业逐渐淘汰高</w:t>
      </w:r>
      <w:r>
        <w:rPr>
          <w:rFonts w:eastAsia="仿宋"/>
          <w:kern w:val="2"/>
          <w:szCs w:val="22"/>
        </w:rPr>
        <w:t>VOCs</w:t>
      </w:r>
      <w:r>
        <w:rPr>
          <w:rFonts w:hint="eastAsia" w:eastAsia="仿宋"/>
          <w:kern w:val="2"/>
          <w:szCs w:val="22"/>
        </w:rPr>
        <w:t>含量的溶剂型涂料的使用，提高表面涂装企业的环境管理水平，提升企业清洁生产水平。通过初步估算，本标准实施后可削减我省表面涂装行业</w:t>
      </w:r>
      <w:r>
        <w:rPr>
          <w:rFonts w:eastAsia="仿宋"/>
          <w:kern w:val="2"/>
          <w:szCs w:val="22"/>
        </w:rPr>
        <w:t>VOCs</w:t>
      </w:r>
      <w:r>
        <w:rPr>
          <w:rFonts w:hint="eastAsia" w:eastAsia="仿宋"/>
          <w:kern w:val="2"/>
          <w:szCs w:val="22"/>
        </w:rPr>
        <w:t>排放量</w:t>
      </w:r>
      <w:r>
        <w:rPr>
          <w:rFonts w:eastAsia="仿宋"/>
          <w:kern w:val="2"/>
          <w:szCs w:val="22"/>
        </w:rPr>
        <w:t>20%~30%</w:t>
      </w:r>
      <w:r>
        <w:rPr>
          <w:rFonts w:hint="eastAsia" w:eastAsia="仿宋"/>
          <w:kern w:val="2"/>
          <w:szCs w:val="22"/>
        </w:rPr>
        <w:t>，能够</w:t>
      </w:r>
      <w:r>
        <w:rPr>
          <w:rFonts w:hint="eastAsia" w:eastAsia="仿宋"/>
          <w:kern w:val="2"/>
          <w:szCs w:val="22"/>
          <w:lang w:eastAsia="zh-CN"/>
        </w:rPr>
        <w:t>大幅</w:t>
      </w:r>
      <w:r>
        <w:rPr>
          <w:rFonts w:hint="eastAsia" w:eastAsia="仿宋"/>
          <w:kern w:val="2"/>
          <w:szCs w:val="22"/>
        </w:rPr>
        <w:t>降低对</w:t>
      </w:r>
      <w:r>
        <w:rPr>
          <w:rFonts w:eastAsia="仿宋"/>
          <w:kern w:val="2"/>
          <w:szCs w:val="22"/>
        </w:rPr>
        <w:t>O</w:t>
      </w:r>
      <w:r>
        <w:rPr>
          <w:rFonts w:eastAsia="仿宋"/>
          <w:kern w:val="2"/>
          <w:szCs w:val="22"/>
          <w:vertAlign w:val="subscript"/>
        </w:rPr>
        <w:t>3</w:t>
      </w:r>
      <w:r>
        <w:rPr>
          <w:rFonts w:hint="eastAsia" w:eastAsia="仿宋"/>
          <w:kern w:val="2"/>
          <w:szCs w:val="22"/>
        </w:rPr>
        <w:t>和</w:t>
      </w:r>
      <w:r>
        <w:rPr>
          <w:rFonts w:eastAsia="仿宋"/>
          <w:kern w:val="2"/>
          <w:szCs w:val="22"/>
        </w:rPr>
        <w:t>PM</w:t>
      </w:r>
      <w:r>
        <w:rPr>
          <w:rFonts w:eastAsia="仿宋"/>
          <w:kern w:val="2"/>
          <w:szCs w:val="22"/>
          <w:vertAlign w:val="subscript"/>
        </w:rPr>
        <w:t>2.5</w:t>
      </w:r>
      <w:r>
        <w:rPr>
          <w:rFonts w:hint="eastAsia" w:eastAsia="仿宋"/>
          <w:kern w:val="2"/>
          <w:szCs w:val="22"/>
        </w:rPr>
        <w:t>的污染贡献，促进空气质量的改善，带来的环境效益十分显著。</w:t>
      </w:r>
    </w:p>
    <w:p w14:paraId="7BDE9438">
      <w:pPr>
        <w:pStyle w:val="3"/>
        <w:spacing w:before="0" w:after="0"/>
        <w:rPr>
          <w:rFonts w:ascii="Times New Roman" w:hAnsi="Times New Roman"/>
        </w:rPr>
      </w:pPr>
      <w:bookmarkStart w:id="496" w:name="_Toc26890"/>
      <w:bookmarkStart w:id="497" w:name="_Toc2533"/>
      <w:bookmarkStart w:id="498" w:name="_Toc17541"/>
      <w:bookmarkStart w:id="499" w:name="_Toc13132"/>
      <w:bookmarkStart w:id="500" w:name="_Toc2362"/>
      <w:bookmarkStart w:id="501" w:name="_Toc11148"/>
      <w:bookmarkStart w:id="502" w:name="_Toc13376"/>
      <w:bookmarkStart w:id="503" w:name="_Toc23364"/>
      <w:bookmarkStart w:id="504" w:name="_Toc25565"/>
      <w:bookmarkStart w:id="505" w:name="_Toc6897"/>
      <w:r>
        <w:rPr>
          <w:rFonts w:ascii="Times New Roman" w:hAnsi="Times New Roman"/>
        </w:rPr>
        <w:t>7.2经济效益分析</w:t>
      </w:r>
      <w:bookmarkEnd w:id="496"/>
      <w:bookmarkEnd w:id="497"/>
      <w:bookmarkEnd w:id="498"/>
      <w:bookmarkEnd w:id="499"/>
      <w:bookmarkEnd w:id="500"/>
      <w:bookmarkEnd w:id="501"/>
      <w:bookmarkEnd w:id="502"/>
      <w:bookmarkEnd w:id="503"/>
      <w:bookmarkEnd w:id="504"/>
      <w:bookmarkEnd w:id="505"/>
    </w:p>
    <w:p w14:paraId="24E934FC">
      <w:pPr>
        <w:pStyle w:val="71"/>
        <w:spacing w:line="360" w:lineRule="auto"/>
        <w:ind w:right="0" w:firstLine="480" w:firstLineChars="200"/>
        <w:outlineLvl w:val="9"/>
        <w:rPr>
          <w:rFonts w:eastAsia="仿宋"/>
          <w:kern w:val="2"/>
          <w:szCs w:val="22"/>
        </w:rPr>
      </w:pPr>
      <w:r>
        <w:rPr>
          <w:rFonts w:hint="eastAsia" w:eastAsia="仿宋"/>
          <w:kern w:val="2"/>
          <w:szCs w:val="22"/>
        </w:rPr>
        <w:t>本技术指南的推出将逐步引导企业限制和淘汰高</w:t>
      </w:r>
      <w:r>
        <w:rPr>
          <w:rFonts w:eastAsia="仿宋"/>
          <w:kern w:val="2"/>
          <w:szCs w:val="22"/>
        </w:rPr>
        <w:t>VOCs</w:t>
      </w:r>
      <w:r>
        <w:rPr>
          <w:rFonts w:hint="eastAsia" w:eastAsia="仿宋"/>
          <w:kern w:val="2"/>
          <w:szCs w:val="22"/>
        </w:rPr>
        <w:t>的溶剂型涂料的应用，有效推进表面涂装行业的管理水平。部分企业通过改装生产工艺，积极改造喷涂室，部分企业末端治理措施采用组合处理技术，经过一系列整治改造，企业成本运营虽有一定升高，但成本压力在可控范围内。</w:t>
      </w:r>
    </w:p>
    <w:bookmarkEnd w:id="485"/>
    <w:p w14:paraId="21A27F24">
      <w:pPr>
        <w:ind w:firstLine="480"/>
      </w:pPr>
    </w:p>
    <w:sectPr>
      <w:footerReference r:id="rId11" w:type="default"/>
      <w:pgSz w:w="11907" w:h="16840"/>
      <w:pgMar w:top="1440" w:right="1800" w:bottom="1440" w:left="1800"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方正仿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7BB1C">
    <w:pPr>
      <w:pStyle w:val="13"/>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A72EA">
    <w:pPr>
      <w:pStyle w:val="13"/>
      <w:ind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62A58">
    <w:pPr>
      <w:pStyle w:val="13"/>
      <w:ind w:firstLine="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5CC643">
                          <w:pPr>
                            <w:pStyle w:val="13"/>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B5CC643">
                    <w:pPr>
                      <w:pStyle w:val="13"/>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99530">
    <w:pPr>
      <w:pStyle w:val="13"/>
      <w:ind w:firstLine="36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B1EFE7">
                          <w:pPr>
                            <w:pStyle w:val="13"/>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5DB1EFE7">
                    <w:pPr>
                      <w:pStyle w:val="13"/>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18935">
    <w:pPr>
      <w:spacing w:line="14" w:lineRule="auto"/>
      <w:ind w:firstLine="0" w:firstLineChars="0"/>
      <w:rPr>
        <w:sz w:val="20"/>
        <w:szCs w:val="20"/>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85470" cy="300990"/>
              <wp:effectExtent l="0" t="0" r="0" b="0"/>
              <wp:wrapNone/>
              <wp:docPr id="7" name="文本框 7"/>
              <wp:cNvGraphicFramePr/>
              <a:graphic xmlns:a="http://schemas.openxmlformats.org/drawingml/2006/main">
                <a:graphicData uri="http://schemas.microsoft.com/office/word/2010/wordprocessingShape">
                  <wps:wsp>
                    <wps:cNvSpPr txBox="1"/>
                    <wps:spPr>
                      <a:xfrm>
                        <a:off x="0" y="0"/>
                        <a:ext cx="585470" cy="300990"/>
                      </a:xfrm>
                      <a:prstGeom prst="rect">
                        <a:avLst/>
                      </a:prstGeom>
                      <a:noFill/>
                      <a:ln>
                        <a:noFill/>
                      </a:ln>
                    </wps:spPr>
                    <wps:txbx>
                      <w:txbxContent>
                        <w:p w14:paraId="48A3CA58">
                          <w:pPr>
                            <w:spacing w:line="204" w:lineRule="exact"/>
                            <w:ind w:firstLine="360"/>
                            <w:rPr>
                              <w:rFonts w:eastAsia="Times New Roman"/>
                              <w:sz w:val="18"/>
                              <w:szCs w:val="18"/>
                            </w:rPr>
                          </w:pPr>
                          <w:r>
                            <w:rPr>
                              <w:rFonts w:eastAsia="Times New Roman"/>
                              <w:sz w:val="18"/>
                              <w:szCs w:val="18"/>
                            </w:rPr>
                            <w:fldChar w:fldCharType="begin"/>
                          </w:r>
                          <w:r>
                            <w:rPr>
                              <w:rFonts w:eastAsia="Times New Roman"/>
                              <w:sz w:val="18"/>
                              <w:szCs w:val="18"/>
                            </w:rPr>
                            <w:instrText xml:space="preserve"> PAGE  \* MERGEFORMAT </w:instrText>
                          </w:r>
                          <w:r>
                            <w:rPr>
                              <w:rFonts w:eastAsia="Times New Roman"/>
                              <w:sz w:val="18"/>
                              <w:szCs w:val="18"/>
                            </w:rPr>
                            <w:fldChar w:fldCharType="separate"/>
                          </w:r>
                          <w:r>
                            <w:rPr>
                              <w:rFonts w:eastAsia="Times New Roman"/>
                              <w:sz w:val="18"/>
                              <w:szCs w:val="18"/>
                            </w:rPr>
                            <w:t>1</w:t>
                          </w:r>
                          <w:r>
                            <w:rPr>
                              <w:rFonts w:eastAsia="Times New Roman"/>
                              <w:sz w:val="18"/>
                              <w:szCs w:val="18"/>
                            </w:rPr>
                            <w:fldChar w:fldCharType="end"/>
                          </w:r>
                        </w:p>
                      </w:txbxContent>
                    </wps:txbx>
                    <wps:bodyPr lIns="0" tIns="0" rIns="0" bIns="0" upright="1"/>
                  </wps:wsp>
                </a:graphicData>
              </a:graphic>
            </wp:anchor>
          </w:drawing>
        </mc:Choice>
        <mc:Fallback>
          <w:pict>
            <v:shape id="_x0000_s1026" o:spid="_x0000_s1026" o:spt="202" type="#_x0000_t202" style="position:absolute;left:0pt;margin-top:0pt;height:23.7pt;width:46.1pt;mso-position-horizontal:center;mso-position-horizontal-relative:margin;z-index:251661312;mso-width-relative:page;mso-height-relative:page;" filled="f" stroked="f" coordsize="21600,21600" o:gfxdata="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KZQbz/UAAAAAwEAAA8AAAAAAAAAAQAgAAAAIgAAAGRycy9kb3ducmV2LnhtbFBLAQIUABQA&#10;AAAIAIdO4kDYdKdtuwEAAHEDAAAOAAAAAAAAAAEAIAAAACMBAABkcnMvZTJvRG9jLnhtbFBLBQYA&#10;AAAABgAGAFkBAABQBQAAAAA=&#10;">
              <v:fill on="f" focussize="0,0"/>
              <v:stroke on="f"/>
              <v:imagedata o:title=""/>
              <o:lock v:ext="edit" aspectratio="f"/>
              <v:textbox inset="0mm,0mm,0mm,0mm">
                <w:txbxContent>
                  <w:p w14:paraId="48A3CA58">
                    <w:pPr>
                      <w:spacing w:line="204" w:lineRule="exact"/>
                      <w:ind w:firstLine="360"/>
                      <w:rPr>
                        <w:rFonts w:eastAsia="Times New Roman"/>
                        <w:sz w:val="18"/>
                        <w:szCs w:val="18"/>
                      </w:rPr>
                    </w:pPr>
                    <w:r>
                      <w:rPr>
                        <w:rFonts w:eastAsia="Times New Roman"/>
                        <w:sz w:val="18"/>
                        <w:szCs w:val="18"/>
                      </w:rPr>
                      <w:fldChar w:fldCharType="begin"/>
                    </w:r>
                    <w:r>
                      <w:rPr>
                        <w:rFonts w:eastAsia="Times New Roman"/>
                        <w:sz w:val="18"/>
                        <w:szCs w:val="18"/>
                      </w:rPr>
                      <w:instrText xml:space="preserve"> PAGE  \* MERGEFORMAT </w:instrText>
                    </w:r>
                    <w:r>
                      <w:rPr>
                        <w:rFonts w:eastAsia="Times New Roman"/>
                        <w:sz w:val="18"/>
                        <w:szCs w:val="18"/>
                      </w:rPr>
                      <w:fldChar w:fldCharType="separate"/>
                    </w:r>
                    <w:r>
                      <w:rPr>
                        <w:rFonts w:eastAsia="Times New Roman"/>
                        <w:sz w:val="18"/>
                        <w:szCs w:val="18"/>
                      </w:rPr>
                      <w:t>1</w:t>
                    </w:r>
                    <w:r>
                      <w:rPr>
                        <w:rFonts w:eastAsia="Times New Roman"/>
                        <w:sz w:val="18"/>
                        <w:szCs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08998">
    <w:pPr>
      <w:pStyle w:val="13"/>
      <w:ind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149CFB">
                          <w:pPr>
                            <w:pStyle w:val="13"/>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QaAL0tAgAAVwQAAA4AAABkcnMvZTJvRG9jLnhtbK1UzY7TMBC+I/EO&#10;lu80aRd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pkQzhYqfvn87&#10;/fh1+vmV4AwCtdbPEPdgERm6t6ZD2wznHoeRd1c5Fb9gROCHvMeLvKILhMdL08l0msPF4Rs2wM8e&#10;r1vnwzthFIlGQR3ql2Rlh40PfegQErNps26kTDWUmrQFvb56k6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EQaAL0tAgAAVwQAAA4AAAAAAAAAAQAgAAAAHwEAAGRycy9lMm9Eb2MueG1sUEsFBgAAAAAG&#10;AAYAWQEAAL4FAAAAAA==&#10;">
              <v:fill on="f" focussize="0,0"/>
              <v:stroke on="f" weight="0.5pt"/>
              <v:imagedata o:title=""/>
              <o:lock v:ext="edit" aspectratio="f"/>
              <v:textbox inset="0mm,0mm,0mm,0mm" style="mso-fit-shape-to-text:t;">
                <w:txbxContent>
                  <w:p w14:paraId="7B149CFB">
                    <w:pPr>
                      <w:pStyle w:val="13"/>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9720E">
    <w:pPr>
      <w:pStyle w:val="13"/>
      <w:ind w:firstLine="36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5" name="文本框 1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8ED3A4">
                          <w:pPr>
                            <w:pStyle w:val="13"/>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KdDzXstAgAAWQQAAA4AAAAAAAAAAQAgAAAAHwEAAGRycy9lMm9Eb2MueG1sUEsFBgAAAAAG&#10;AAYAWQEAAL4FAAAAAA==&#10;">
              <v:fill on="f" focussize="0,0"/>
              <v:stroke on="f" weight="0.5pt"/>
              <v:imagedata o:title=""/>
              <o:lock v:ext="edit" aspectratio="f"/>
              <v:textbox inset="0mm,0mm,0mm,0mm" style="mso-fit-shape-to-text:t;">
                <w:txbxContent>
                  <w:p w14:paraId="3D8ED3A4">
                    <w:pPr>
                      <w:pStyle w:val="13"/>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F3EB2C"/>
    <w:multiLevelType w:val="singleLevel"/>
    <w:tmpl w:val="B4F3EB2C"/>
    <w:lvl w:ilvl="0" w:tentative="0">
      <w:start w:val="1"/>
      <w:numFmt w:val="decimal"/>
      <w:suff w:val="nothing"/>
      <w:lvlText w:val="%1、"/>
      <w:lvlJc w:val="left"/>
    </w:lvl>
  </w:abstractNum>
  <w:abstractNum w:abstractNumId="1">
    <w:nsid w:val="6DBF04F4"/>
    <w:multiLevelType w:val="multilevel"/>
    <w:tmpl w:val="6DBF04F4"/>
    <w:lvl w:ilvl="0" w:tentative="0">
      <w:start w:val="1"/>
      <w:numFmt w:val="none"/>
      <w:pStyle w:val="67"/>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documentProtection w:enforcement="0"/>
  <w:defaultTabStop w:val="420"/>
  <w:drawingGridHorizontalSpacing w:val="120"/>
  <w:drawingGridVerticalSpacing w:val="16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ODgzMTNmOGNjMDk4OTg2NTAzYTUxZGJlNDkzY2UifQ=="/>
  </w:docVars>
  <w:rsids>
    <w:rsidRoot w:val="00172A27"/>
    <w:rsid w:val="00001A24"/>
    <w:rsid w:val="00001BED"/>
    <w:rsid w:val="00003689"/>
    <w:rsid w:val="000037F1"/>
    <w:rsid w:val="00004BC0"/>
    <w:rsid w:val="00004DD5"/>
    <w:rsid w:val="000056D4"/>
    <w:rsid w:val="0000583F"/>
    <w:rsid w:val="00005B02"/>
    <w:rsid w:val="00005B8E"/>
    <w:rsid w:val="00005CF8"/>
    <w:rsid w:val="00006A11"/>
    <w:rsid w:val="00007031"/>
    <w:rsid w:val="000074CD"/>
    <w:rsid w:val="00007EB3"/>
    <w:rsid w:val="000115CE"/>
    <w:rsid w:val="00011DAF"/>
    <w:rsid w:val="00013540"/>
    <w:rsid w:val="0001398C"/>
    <w:rsid w:val="00013C63"/>
    <w:rsid w:val="000142FD"/>
    <w:rsid w:val="00014602"/>
    <w:rsid w:val="00014FD0"/>
    <w:rsid w:val="000155E4"/>
    <w:rsid w:val="000176BA"/>
    <w:rsid w:val="000209F6"/>
    <w:rsid w:val="00021EA7"/>
    <w:rsid w:val="0002313D"/>
    <w:rsid w:val="0002341E"/>
    <w:rsid w:val="00023C5C"/>
    <w:rsid w:val="000250B6"/>
    <w:rsid w:val="000262A8"/>
    <w:rsid w:val="000269B5"/>
    <w:rsid w:val="0003155D"/>
    <w:rsid w:val="00031880"/>
    <w:rsid w:val="00032438"/>
    <w:rsid w:val="00032853"/>
    <w:rsid w:val="00032C27"/>
    <w:rsid w:val="000339AA"/>
    <w:rsid w:val="000358EF"/>
    <w:rsid w:val="00036A1E"/>
    <w:rsid w:val="00036E57"/>
    <w:rsid w:val="000370E0"/>
    <w:rsid w:val="000377C3"/>
    <w:rsid w:val="000401FC"/>
    <w:rsid w:val="00040FD5"/>
    <w:rsid w:val="000420A7"/>
    <w:rsid w:val="000443F1"/>
    <w:rsid w:val="0004511D"/>
    <w:rsid w:val="0004525D"/>
    <w:rsid w:val="000461F9"/>
    <w:rsid w:val="00047BEF"/>
    <w:rsid w:val="00051B22"/>
    <w:rsid w:val="00051FA4"/>
    <w:rsid w:val="000522D0"/>
    <w:rsid w:val="0005279F"/>
    <w:rsid w:val="000546F6"/>
    <w:rsid w:val="00054841"/>
    <w:rsid w:val="000556EE"/>
    <w:rsid w:val="000564B7"/>
    <w:rsid w:val="0005697B"/>
    <w:rsid w:val="00056C5B"/>
    <w:rsid w:val="00057161"/>
    <w:rsid w:val="00060C6C"/>
    <w:rsid w:val="00060E9C"/>
    <w:rsid w:val="00061053"/>
    <w:rsid w:val="000625F4"/>
    <w:rsid w:val="0006335C"/>
    <w:rsid w:val="00063CF6"/>
    <w:rsid w:val="00065793"/>
    <w:rsid w:val="00066CD5"/>
    <w:rsid w:val="00066D3B"/>
    <w:rsid w:val="0006790F"/>
    <w:rsid w:val="00067A27"/>
    <w:rsid w:val="00067A5B"/>
    <w:rsid w:val="00067C47"/>
    <w:rsid w:val="0007012D"/>
    <w:rsid w:val="00071654"/>
    <w:rsid w:val="0007197C"/>
    <w:rsid w:val="000733AB"/>
    <w:rsid w:val="000749B0"/>
    <w:rsid w:val="00075756"/>
    <w:rsid w:val="00075C58"/>
    <w:rsid w:val="0007788A"/>
    <w:rsid w:val="000807C6"/>
    <w:rsid w:val="0008084F"/>
    <w:rsid w:val="00080E1D"/>
    <w:rsid w:val="000814E3"/>
    <w:rsid w:val="00081576"/>
    <w:rsid w:val="00081863"/>
    <w:rsid w:val="00081F03"/>
    <w:rsid w:val="00084031"/>
    <w:rsid w:val="00084723"/>
    <w:rsid w:val="000847D3"/>
    <w:rsid w:val="00084BF8"/>
    <w:rsid w:val="00086382"/>
    <w:rsid w:val="00086AD6"/>
    <w:rsid w:val="00086D52"/>
    <w:rsid w:val="0008789E"/>
    <w:rsid w:val="00087FC8"/>
    <w:rsid w:val="00091DAD"/>
    <w:rsid w:val="00092043"/>
    <w:rsid w:val="000936B2"/>
    <w:rsid w:val="00094554"/>
    <w:rsid w:val="0009458B"/>
    <w:rsid w:val="00094BD0"/>
    <w:rsid w:val="00095887"/>
    <w:rsid w:val="0009693B"/>
    <w:rsid w:val="000973FE"/>
    <w:rsid w:val="000974D9"/>
    <w:rsid w:val="00097F9A"/>
    <w:rsid w:val="000A039B"/>
    <w:rsid w:val="000A146C"/>
    <w:rsid w:val="000A3CA1"/>
    <w:rsid w:val="000A4147"/>
    <w:rsid w:val="000A443C"/>
    <w:rsid w:val="000A4B35"/>
    <w:rsid w:val="000A6A7D"/>
    <w:rsid w:val="000A7372"/>
    <w:rsid w:val="000A7953"/>
    <w:rsid w:val="000A7FD6"/>
    <w:rsid w:val="000B0B93"/>
    <w:rsid w:val="000B0C47"/>
    <w:rsid w:val="000B1771"/>
    <w:rsid w:val="000B225E"/>
    <w:rsid w:val="000B25B8"/>
    <w:rsid w:val="000B3AC7"/>
    <w:rsid w:val="000B49F5"/>
    <w:rsid w:val="000B4D75"/>
    <w:rsid w:val="000B5181"/>
    <w:rsid w:val="000B58FC"/>
    <w:rsid w:val="000B5F16"/>
    <w:rsid w:val="000B769A"/>
    <w:rsid w:val="000B79A5"/>
    <w:rsid w:val="000C049F"/>
    <w:rsid w:val="000C07E0"/>
    <w:rsid w:val="000C0A47"/>
    <w:rsid w:val="000C121B"/>
    <w:rsid w:val="000C1919"/>
    <w:rsid w:val="000C2C57"/>
    <w:rsid w:val="000C3298"/>
    <w:rsid w:val="000C344A"/>
    <w:rsid w:val="000C3557"/>
    <w:rsid w:val="000C37B1"/>
    <w:rsid w:val="000C38D5"/>
    <w:rsid w:val="000C3BFC"/>
    <w:rsid w:val="000C3D2E"/>
    <w:rsid w:val="000C3FA0"/>
    <w:rsid w:val="000C41E3"/>
    <w:rsid w:val="000C4640"/>
    <w:rsid w:val="000C4CD6"/>
    <w:rsid w:val="000C6DDE"/>
    <w:rsid w:val="000C7DF9"/>
    <w:rsid w:val="000C7F40"/>
    <w:rsid w:val="000D0CDA"/>
    <w:rsid w:val="000D127E"/>
    <w:rsid w:val="000D12A6"/>
    <w:rsid w:val="000D1CFE"/>
    <w:rsid w:val="000D2421"/>
    <w:rsid w:val="000D2503"/>
    <w:rsid w:val="000D266E"/>
    <w:rsid w:val="000D2C87"/>
    <w:rsid w:val="000D3436"/>
    <w:rsid w:val="000D38DF"/>
    <w:rsid w:val="000D3C6C"/>
    <w:rsid w:val="000D4C60"/>
    <w:rsid w:val="000D679E"/>
    <w:rsid w:val="000D69DF"/>
    <w:rsid w:val="000D6B15"/>
    <w:rsid w:val="000D77F4"/>
    <w:rsid w:val="000D7EA5"/>
    <w:rsid w:val="000E1C37"/>
    <w:rsid w:val="000E28AE"/>
    <w:rsid w:val="000E397A"/>
    <w:rsid w:val="000E4A8C"/>
    <w:rsid w:val="000E52DA"/>
    <w:rsid w:val="000E593E"/>
    <w:rsid w:val="000E5C3E"/>
    <w:rsid w:val="000E693F"/>
    <w:rsid w:val="000E6A47"/>
    <w:rsid w:val="000E71FB"/>
    <w:rsid w:val="000F016E"/>
    <w:rsid w:val="000F0F71"/>
    <w:rsid w:val="000F11CD"/>
    <w:rsid w:val="000F13ED"/>
    <w:rsid w:val="000F1E7E"/>
    <w:rsid w:val="000F1F04"/>
    <w:rsid w:val="000F2B3E"/>
    <w:rsid w:val="000F2C67"/>
    <w:rsid w:val="000F3633"/>
    <w:rsid w:val="000F5868"/>
    <w:rsid w:val="000F6239"/>
    <w:rsid w:val="000F64FE"/>
    <w:rsid w:val="000F66C4"/>
    <w:rsid w:val="000F6C51"/>
    <w:rsid w:val="000F78A1"/>
    <w:rsid w:val="0010044B"/>
    <w:rsid w:val="00101048"/>
    <w:rsid w:val="00101392"/>
    <w:rsid w:val="001030FF"/>
    <w:rsid w:val="00103DE8"/>
    <w:rsid w:val="00103FC7"/>
    <w:rsid w:val="001055B1"/>
    <w:rsid w:val="00105EC3"/>
    <w:rsid w:val="00106FBA"/>
    <w:rsid w:val="00110AEB"/>
    <w:rsid w:val="001149E5"/>
    <w:rsid w:val="001150CD"/>
    <w:rsid w:val="00116C34"/>
    <w:rsid w:val="00116F33"/>
    <w:rsid w:val="00117805"/>
    <w:rsid w:val="00117F20"/>
    <w:rsid w:val="001217F5"/>
    <w:rsid w:val="00122918"/>
    <w:rsid w:val="00122B2C"/>
    <w:rsid w:val="00124553"/>
    <w:rsid w:val="0012552F"/>
    <w:rsid w:val="00127CB6"/>
    <w:rsid w:val="001300DE"/>
    <w:rsid w:val="00130CD0"/>
    <w:rsid w:val="00130CE1"/>
    <w:rsid w:val="00132354"/>
    <w:rsid w:val="001328AC"/>
    <w:rsid w:val="00132DCC"/>
    <w:rsid w:val="0013337A"/>
    <w:rsid w:val="0013351D"/>
    <w:rsid w:val="00133D95"/>
    <w:rsid w:val="0013428B"/>
    <w:rsid w:val="00134CF6"/>
    <w:rsid w:val="0013574A"/>
    <w:rsid w:val="00135914"/>
    <w:rsid w:val="00135EB8"/>
    <w:rsid w:val="00136285"/>
    <w:rsid w:val="001401AF"/>
    <w:rsid w:val="001418DE"/>
    <w:rsid w:val="001437A1"/>
    <w:rsid w:val="0014380B"/>
    <w:rsid w:val="00143BF2"/>
    <w:rsid w:val="00143F90"/>
    <w:rsid w:val="0014585C"/>
    <w:rsid w:val="00145F5F"/>
    <w:rsid w:val="001461B3"/>
    <w:rsid w:val="00146BC6"/>
    <w:rsid w:val="0014725D"/>
    <w:rsid w:val="00147327"/>
    <w:rsid w:val="00147658"/>
    <w:rsid w:val="001503BD"/>
    <w:rsid w:val="001511E6"/>
    <w:rsid w:val="00151499"/>
    <w:rsid w:val="0015197A"/>
    <w:rsid w:val="00153DF3"/>
    <w:rsid w:val="00154492"/>
    <w:rsid w:val="00154521"/>
    <w:rsid w:val="001545DB"/>
    <w:rsid w:val="00155907"/>
    <w:rsid w:val="00155E7D"/>
    <w:rsid w:val="00156219"/>
    <w:rsid w:val="00156223"/>
    <w:rsid w:val="00156AE8"/>
    <w:rsid w:val="0015760F"/>
    <w:rsid w:val="00160A75"/>
    <w:rsid w:val="00160D59"/>
    <w:rsid w:val="00161F46"/>
    <w:rsid w:val="00162E0B"/>
    <w:rsid w:val="00163129"/>
    <w:rsid w:val="001632E9"/>
    <w:rsid w:val="00164197"/>
    <w:rsid w:val="00164AB3"/>
    <w:rsid w:val="00164EE6"/>
    <w:rsid w:val="0016530C"/>
    <w:rsid w:val="00165BA3"/>
    <w:rsid w:val="0016635E"/>
    <w:rsid w:val="001673CF"/>
    <w:rsid w:val="00167551"/>
    <w:rsid w:val="001702FB"/>
    <w:rsid w:val="00171C04"/>
    <w:rsid w:val="001727F0"/>
    <w:rsid w:val="00172A27"/>
    <w:rsid w:val="00177808"/>
    <w:rsid w:val="00177C2A"/>
    <w:rsid w:val="00180BA1"/>
    <w:rsid w:val="001811F3"/>
    <w:rsid w:val="00181924"/>
    <w:rsid w:val="0018271B"/>
    <w:rsid w:val="00182C81"/>
    <w:rsid w:val="001834C8"/>
    <w:rsid w:val="00183E75"/>
    <w:rsid w:val="001844DC"/>
    <w:rsid w:val="00184AD3"/>
    <w:rsid w:val="00185798"/>
    <w:rsid w:val="001858D4"/>
    <w:rsid w:val="0018623D"/>
    <w:rsid w:val="00187707"/>
    <w:rsid w:val="00191105"/>
    <w:rsid w:val="001918D4"/>
    <w:rsid w:val="00191DE6"/>
    <w:rsid w:val="001920F9"/>
    <w:rsid w:val="00192909"/>
    <w:rsid w:val="001A06B3"/>
    <w:rsid w:val="001A0758"/>
    <w:rsid w:val="001A1DE5"/>
    <w:rsid w:val="001A2BBE"/>
    <w:rsid w:val="001A2D54"/>
    <w:rsid w:val="001A46DE"/>
    <w:rsid w:val="001A50C9"/>
    <w:rsid w:val="001A5A50"/>
    <w:rsid w:val="001A5C5B"/>
    <w:rsid w:val="001B0E13"/>
    <w:rsid w:val="001B2945"/>
    <w:rsid w:val="001B3C8D"/>
    <w:rsid w:val="001B3D9C"/>
    <w:rsid w:val="001B5963"/>
    <w:rsid w:val="001B6077"/>
    <w:rsid w:val="001B60B4"/>
    <w:rsid w:val="001B66BB"/>
    <w:rsid w:val="001B6734"/>
    <w:rsid w:val="001B7F79"/>
    <w:rsid w:val="001B7FFB"/>
    <w:rsid w:val="001C0340"/>
    <w:rsid w:val="001C2EAD"/>
    <w:rsid w:val="001C48F0"/>
    <w:rsid w:val="001C5C91"/>
    <w:rsid w:val="001C6984"/>
    <w:rsid w:val="001C6A6C"/>
    <w:rsid w:val="001C75BD"/>
    <w:rsid w:val="001D0C5D"/>
    <w:rsid w:val="001D13B5"/>
    <w:rsid w:val="001D19A3"/>
    <w:rsid w:val="001D1AC6"/>
    <w:rsid w:val="001D2E5A"/>
    <w:rsid w:val="001D3325"/>
    <w:rsid w:val="001D641A"/>
    <w:rsid w:val="001E0753"/>
    <w:rsid w:val="001E1A62"/>
    <w:rsid w:val="001E4955"/>
    <w:rsid w:val="001E4A99"/>
    <w:rsid w:val="001E5B22"/>
    <w:rsid w:val="001E7450"/>
    <w:rsid w:val="001F27E9"/>
    <w:rsid w:val="001F3058"/>
    <w:rsid w:val="001F5966"/>
    <w:rsid w:val="001F5AF5"/>
    <w:rsid w:val="001F643F"/>
    <w:rsid w:val="001F6EA7"/>
    <w:rsid w:val="00200476"/>
    <w:rsid w:val="00201313"/>
    <w:rsid w:val="00201ECE"/>
    <w:rsid w:val="00202FB9"/>
    <w:rsid w:val="00203BB6"/>
    <w:rsid w:val="00204895"/>
    <w:rsid w:val="00205422"/>
    <w:rsid w:val="00205637"/>
    <w:rsid w:val="00205E2C"/>
    <w:rsid w:val="00205F8F"/>
    <w:rsid w:val="0020693F"/>
    <w:rsid w:val="00206FF9"/>
    <w:rsid w:val="0020706C"/>
    <w:rsid w:val="002074FA"/>
    <w:rsid w:val="0021056D"/>
    <w:rsid w:val="002128AA"/>
    <w:rsid w:val="00215393"/>
    <w:rsid w:val="00215801"/>
    <w:rsid w:val="0021773C"/>
    <w:rsid w:val="00221331"/>
    <w:rsid w:val="00221DD4"/>
    <w:rsid w:val="00222205"/>
    <w:rsid w:val="00224C93"/>
    <w:rsid w:val="00225234"/>
    <w:rsid w:val="0022542A"/>
    <w:rsid w:val="002257DC"/>
    <w:rsid w:val="002267B5"/>
    <w:rsid w:val="00226CAA"/>
    <w:rsid w:val="00226E80"/>
    <w:rsid w:val="00230A3F"/>
    <w:rsid w:val="00230EFB"/>
    <w:rsid w:val="00231F73"/>
    <w:rsid w:val="0023232A"/>
    <w:rsid w:val="0023408B"/>
    <w:rsid w:val="00234D06"/>
    <w:rsid w:val="0023579C"/>
    <w:rsid w:val="002368B0"/>
    <w:rsid w:val="002372EC"/>
    <w:rsid w:val="00241443"/>
    <w:rsid w:val="00242727"/>
    <w:rsid w:val="002428DB"/>
    <w:rsid w:val="002433F3"/>
    <w:rsid w:val="002441C7"/>
    <w:rsid w:val="00244618"/>
    <w:rsid w:val="00247CA9"/>
    <w:rsid w:val="00250103"/>
    <w:rsid w:val="002508D8"/>
    <w:rsid w:val="00250CEC"/>
    <w:rsid w:val="0025160A"/>
    <w:rsid w:val="00251BE5"/>
    <w:rsid w:val="00253568"/>
    <w:rsid w:val="002538DB"/>
    <w:rsid w:val="00253F33"/>
    <w:rsid w:val="002543CA"/>
    <w:rsid w:val="00256680"/>
    <w:rsid w:val="00257FE7"/>
    <w:rsid w:val="00262597"/>
    <w:rsid w:val="00264100"/>
    <w:rsid w:val="002644D1"/>
    <w:rsid w:val="00264C40"/>
    <w:rsid w:val="002676DB"/>
    <w:rsid w:val="002678FC"/>
    <w:rsid w:val="00270048"/>
    <w:rsid w:val="00270E4D"/>
    <w:rsid w:val="00271D90"/>
    <w:rsid w:val="00272044"/>
    <w:rsid w:val="00272940"/>
    <w:rsid w:val="002729B9"/>
    <w:rsid w:val="002753DD"/>
    <w:rsid w:val="00275523"/>
    <w:rsid w:val="002757D6"/>
    <w:rsid w:val="00276E18"/>
    <w:rsid w:val="0028084B"/>
    <w:rsid w:val="002808E9"/>
    <w:rsid w:val="002827F1"/>
    <w:rsid w:val="00282ABB"/>
    <w:rsid w:val="00282DB7"/>
    <w:rsid w:val="00283B4F"/>
    <w:rsid w:val="00283C13"/>
    <w:rsid w:val="00284FF4"/>
    <w:rsid w:val="00286E18"/>
    <w:rsid w:val="00286F4E"/>
    <w:rsid w:val="002870C6"/>
    <w:rsid w:val="00287273"/>
    <w:rsid w:val="0029012A"/>
    <w:rsid w:val="00290B3A"/>
    <w:rsid w:val="002910A3"/>
    <w:rsid w:val="002921F9"/>
    <w:rsid w:val="002925C4"/>
    <w:rsid w:val="0029307A"/>
    <w:rsid w:val="00293B4C"/>
    <w:rsid w:val="00293C3F"/>
    <w:rsid w:val="00293DDF"/>
    <w:rsid w:val="00293EA6"/>
    <w:rsid w:val="00295431"/>
    <w:rsid w:val="00295532"/>
    <w:rsid w:val="00295A88"/>
    <w:rsid w:val="0029600C"/>
    <w:rsid w:val="00296985"/>
    <w:rsid w:val="00296A93"/>
    <w:rsid w:val="00297B48"/>
    <w:rsid w:val="002A0A44"/>
    <w:rsid w:val="002A0D0C"/>
    <w:rsid w:val="002A103A"/>
    <w:rsid w:val="002A1B3F"/>
    <w:rsid w:val="002A1B5D"/>
    <w:rsid w:val="002A215A"/>
    <w:rsid w:val="002A3C91"/>
    <w:rsid w:val="002A5CC7"/>
    <w:rsid w:val="002A5E86"/>
    <w:rsid w:val="002A77A6"/>
    <w:rsid w:val="002B06DE"/>
    <w:rsid w:val="002B0756"/>
    <w:rsid w:val="002B2182"/>
    <w:rsid w:val="002B24AA"/>
    <w:rsid w:val="002B2BF4"/>
    <w:rsid w:val="002B34A9"/>
    <w:rsid w:val="002B4872"/>
    <w:rsid w:val="002B5236"/>
    <w:rsid w:val="002B52B1"/>
    <w:rsid w:val="002B64DC"/>
    <w:rsid w:val="002B66A9"/>
    <w:rsid w:val="002B6B91"/>
    <w:rsid w:val="002B7E1B"/>
    <w:rsid w:val="002B7E7A"/>
    <w:rsid w:val="002C0859"/>
    <w:rsid w:val="002C27B2"/>
    <w:rsid w:val="002C2D67"/>
    <w:rsid w:val="002C3228"/>
    <w:rsid w:val="002C44E9"/>
    <w:rsid w:val="002C4F11"/>
    <w:rsid w:val="002C56E8"/>
    <w:rsid w:val="002C6025"/>
    <w:rsid w:val="002C7765"/>
    <w:rsid w:val="002C7A49"/>
    <w:rsid w:val="002D00F2"/>
    <w:rsid w:val="002D09EE"/>
    <w:rsid w:val="002D0D03"/>
    <w:rsid w:val="002D1176"/>
    <w:rsid w:val="002D1D38"/>
    <w:rsid w:val="002D244A"/>
    <w:rsid w:val="002D27C0"/>
    <w:rsid w:val="002D32B5"/>
    <w:rsid w:val="002D42F5"/>
    <w:rsid w:val="002D4870"/>
    <w:rsid w:val="002D50A7"/>
    <w:rsid w:val="002D5835"/>
    <w:rsid w:val="002D5BBA"/>
    <w:rsid w:val="002D7223"/>
    <w:rsid w:val="002D7254"/>
    <w:rsid w:val="002D74FF"/>
    <w:rsid w:val="002E1FDB"/>
    <w:rsid w:val="002E4083"/>
    <w:rsid w:val="002E4876"/>
    <w:rsid w:val="002E5A10"/>
    <w:rsid w:val="002E7419"/>
    <w:rsid w:val="002F0FC2"/>
    <w:rsid w:val="002F15B7"/>
    <w:rsid w:val="002F3D92"/>
    <w:rsid w:val="002F48D8"/>
    <w:rsid w:val="002F72DE"/>
    <w:rsid w:val="002F7C29"/>
    <w:rsid w:val="002F7FA7"/>
    <w:rsid w:val="00300504"/>
    <w:rsid w:val="00300A63"/>
    <w:rsid w:val="00300E03"/>
    <w:rsid w:val="00301298"/>
    <w:rsid w:val="003025D3"/>
    <w:rsid w:val="00304D2D"/>
    <w:rsid w:val="00305532"/>
    <w:rsid w:val="003057AA"/>
    <w:rsid w:val="00305949"/>
    <w:rsid w:val="00306457"/>
    <w:rsid w:val="00307526"/>
    <w:rsid w:val="0031226A"/>
    <w:rsid w:val="00312EA0"/>
    <w:rsid w:val="003147C7"/>
    <w:rsid w:val="00314F52"/>
    <w:rsid w:val="00315A8A"/>
    <w:rsid w:val="003160EA"/>
    <w:rsid w:val="003175EF"/>
    <w:rsid w:val="00317AAD"/>
    <w:rsid w:val="0032088F"/>
    <w:rsid w:val="003214E6"/>
    <w:rsid w:val="003216C9"/>
    <w:rsid w:val="00321A02"/>
    <w:rsid w:val="00322014"/>
    <w:rsid w:val="00322715"/>
    <w:rsid w:val="00322C32"/>
    <w:rsid w:val="0032551D"/>
    <w:rsid w:val="00326621"/>
    <w:rsid w:val="00326999"/>
    <w:rsid w:val="00326D67"/>
    <w:rsid w:val="00327BAA"/>
    <w:rsid w:val="003304A3"/>
    <w:rsid w:val="00330B9F"/>
    <w:rsid w:val="00331C77"/>
    <w:rsid w:val="00331E48"/>
    <w:rsid w:val="00333AD3"/>
    <w:rsid w:val="00333DC9"/>
    <w:rsid w:val="00334A5C"/>
    <w:rsid w:val="00334BEE"/>
    <w:rsid w:val="003358A3"/>
    <w:rsid w:val="003359BC"/>
    <w:rsid w:val="00337C5B"/>
    <w:rsid w:val="003408D2"/>
    <w:rsid w:val="00340D3F"/>
    <w:rsid w:val="00340F44"/>
    <w:rsid w:val="00341062"/>
    <w:rsid w:val="00341876"/>
    <w:rsid w:val="003430E9"/>
    <w:rsid w:val="00344DA7"/>
    <w:rsid w:val="003450EE"/>
    <w:rsid w:val="00345E7D"/>
    <w:rsid w:val="003460EA"/>
    <w:rsid w:val="0034624F"/>
    <w:rsid w:val="00347E19"/>
    <w:rsid w:val="00350A0B"/>
    <w:rsid w:val="0035113C"/>
    <w:rsid w:val="00351923"/>
    <w:rsid w:val="00351D0B"/>
    <w:rsid w:val="00353288"/>
    <w:rsid w:val="0035338B"/>
    <w:rsid w:val="003539B3"/>
    <w:rsid w:val="00353DA6"/>
    <w:rsid w:val="00355305"/>
    <w:rsid w:val="0035668F"/>
    <w:rsid w:val="00356BCC"/>
    <w:rsid w:val="00357F37"/>
    <w:rsid w:val="00360CEB"/>
    <w:rsid w:val="00360E85"/>
    <w:rsid w:val="00361313"/>
    <w:rsid w:val="00361C54"/>
    <w:rsid w:val="00362AFB"/>
    <w:rsid w:val="003636E3"/>
    <w:rsid w:val="00363C1D"/>
    <w:rsid w:val="0036436C"/>
    <w:rsid w:val="003654A3"/>
    <w:rsid w:val="00367542"/>
    <w:rsid w:val="00367619"/>
    <w:rsid w:val="003676C1"/>
    <w:rsid w:val="00367B5C"/>
    <w:rsid w:val="00372D7F"/>
    <w:rsid w:val="0037320A"/>
    <w:rsid w:val="00373520"/>
    <w:rsid w:val="003735C6"/>
    <w:rsid w:val="00375DFD"/>
    <w:rsid w:val="0037611B"/>
    <w:rsid w:val="003764DC"/>
    <w:rsid w:val="00376BEE"/>
    <w:rsid w:val="00377570"/>
    <w:rsid w:val="0037758A"/>
    <w:rsid w:val="00380DBD"/>
    <w:rsid w:val="00381A2B"/>
    <w:rsid w:val="003822FF"/>
    <w:rsid w:val="00383256"/>
    <w:rsid w:val="003839C9"/>
    <w:rsid w:val="0038796F"/>
    <w:rsid w:val="0039121F"/>
    <w:rsid w:val="003913B0"/>
    <w:rsid w:val="00392AF9"/>
    <w:rsid w:val="00393BB0"/>
    <w:rsid w:val="003942D5"/>
    <w:rsid w:val="003949AD"/>
    <w:rsid w:val="00394BDF"/>
    <w:rsid w:val="00394F16"/>
    <w:rsid w:val="00395B0E"/>
    <w:rsid w:val="003960F6"/>
    <w:rsid w:val="00396217"/>
    <w:rsid w:val="00396592"/>
    <w:rsid w:val="00397011"/>
    <w:rsid w:val="0039747D"/>
    <w:rsid w:val="003A24F5"/>
    <w:rsid w:val="003A2822"/>
    <w:rsid w:val="003A28E4"/>
    <w:rsid w:val="003A2DC8"/>
    <w:rsid w:val="003A2E00"/>
    <w:rsid w:val="003A3DD1"/>
    <w:rsid w:val="003A3F16"/>
    <w:rsid w:val="003A4267"/>
    <w:rsid w:val="003A46F2"/>
    <w:rsid w:val="003A5117"/>
    <w:rsid w:val="003A5B29"/>
    <w:rsid w:val="003A6C18"/>
    <w:rsid w:val="003B07DD"/>
    <w:rsid w:val="003B0BBA"/>
    <w:rsid w:val="003B1326"/>
    <w:rsid w:val="003B1B7D"/>
    <w:rsid w:val="003B1DD5"/>
    <w:rsid w:val="003B3532"/>
    <w:rsid w:val="003B3739"/>
    <w:rsid w:val="003B37B7"/>
    <w:rsid w:val="003B7B8E"/>
    <w:rsid w:val="003C0B78"/>
    <w:rsid w:val="003C0CDC"/>
    <w:rsid w:val="003C0FB9"/>
    <w:rsid w:val="003C1F49"/>
    <w:rsid w:val="003C3719"/>
    <w:rsid w:val="003C5321"/>
    <w:rsid w:val="003C5814"/>
    <w:rsid w:val="003C5853"/>
    <w:rsid w:val="003C6962"/>
    <w:rsid w:val="003D2533"/>
    <w:rsid w:val="003D2E6D"/>
    <w:rsid w:val="003D35BD"/>
    <w:rsid w:val="003D3935"/>
    <w:rsid w:val="003D5552"/>
    <w:rsid w:val="003D5CA8"/>
    <w:rsid w:val="003D5CB3"/>
    <w:rsid w:val="003D6778"/>
    <w:rsid w:val="003D7C6D"/>
    <w:rsid w:val="003D7EBF"/>
    <w:rsid w:val="003E0787"/>
    <w:rsid w:val="003E0A44"/>
    <w:rsid w:val="003E0AC8"/>
    <w:rsid w:val="003E0DA8"/>
    <w:rsid w:val="003E19C4"/>
    <w:rsid w:val="003E2F28"/>
    <w:rsid w:val="003E3959"/>
    <w:rsid w:val="003E5134"/>
    <w:rsid w:val="003E5B17"/>
    <w:rsid w:val="003E5C44"/>
    <w:rsid w:val="003E5D36"/>
    <w:rsid w:val="003E6600"/>
    <w:rsid w:val="003E78A7"/>
    <w:rsid w:val="003E7F55"/>
    <w:rsid w:val="003F0471"/>
    <w:rsid w:val="003F0A65"/>
    <w:rsid w:val="003F18F1"/>
    <w:rsid w:val="003F3C1B"/>
    <w:rsid w:val="003F52B3"/>
    <w:rsid w:val="003F6BEC"/>
    <w:rsid w:val="003F7C96"/>
    <w:rsid w:val="004017E9"/>
    <w:rsid w:val="00401DF7"/>
    <w:rsid w:val="00402735"/>
    <w:rsid w:val="004031BF"/>
    <w:rsid w:val="00403614"/>
    <w:rsid w:val="00403809"/>
    <w:rsid w:val="00404A26"/>
    <w:rsid w:val="0040597E"/>
    <w:rsid w:val="0040693A"/>
    <w:rsid w:val="0040701E"/>
    <w:rsid w:val="00407551"/>
    <w:rsid w:val="0041171E"/>
    <w:rsid w:val="00411B6D"/>
    <w:rsid w:val="00413B86"/>
    <w:rsid w:val="00417C12"/>
    <w:rsid w:val="00417CA7"/>
    <w:rsid w:val="00420118"/>
    <w:rsid w:val="00420F56"/>
    <w:rsid w:val="00421B66"/>
    <w:rsid w:val="00422055"/>
    <w:rsid w:val="00423D74"/>
    <w:rsid w:val="0042541A"/>
    <w:rsid w:val="0042638F"/>
    <w:rsid w:val="004264A5"/>
    <w:rsid w:val="0042665B"/>
    <w:rsid w:val="00426AD4"/>
    <w:rsid w:val="0042721A"/>
    <w:rsid w:val="00430079"/>
    <w:rsid w:val="00430F8C"/>
    <w:rsid w:val="00433B26"/>
    <w:rsid w:val="00433FFF"/>
    <w:rsid w:val="00434292"/>
    <w:rsid w:val="004360AE"/>
    <w:rsid w:val="0043645C"/>
    <w:rsid w:val="00436997"/>
    <w:rsid w:val="004369E8"/>
    <w:rsid w:val="00436CF2"/>
    <w:rsid w:val="004372AC"/>
    <w:rsid w:val="004377CD"/>
    <w:rsid w:val="004379CB"/>
    <w:rsid w:val="00437C92"/>
    <w:rsid w:val="004404A1"/>
    <w:rsid w:val="00440D63"/>
    <w:rsid w:val="00442CCC"/>
    <w:rsid w:val="00443FD3"/>
    <w:rsid w:val="00446B60"/>
    <w:rsid w:val="00450010"/>
    <w:rsid w:val="00450DF6"/>
    <w:rsid w:val="00451819"/>
    <w:rsid w:val="00452F70"/>
    <w:rsid w:val="0045310A"/>
    <w:rsid w:val="00453A9C"/>
    <w:rsid w:val="00453EED"/>
    <w:rsid w:val="0045457D"/>
    <w:rsid w:val="004568B7"/>
    <w:rsid w:val="004570C2"/>
    <w:rsid w:val="00460A0D"/>
    <w:rsid w:val="004613FC"/>
    <w:rsid w:val="00462DD0"/>
    <w:rsid w:val="004630CC"/>
    <w:rsid w:val="00464675"/>
    <w:rsid w:val="00464C1F"/>
    <w:rsid w:val="00464FE2"/>
    <w:rsid w:val="004653D0"/>
    <w:rsid w:val="004659D6"/>
    <w:rsid w:val="004662AB"/>
    <w:rsid w:val="00466C9F"/>
    <w:rsid w:val="00466ED0"/>
    <w:rsid w:val="00466F3F"/>
    <w:rsid w:val="004674B5"/>
    <w:rsid w:val="0046786A"/>
    <w:rsid w:val="00470A54"/>
    <w:rsid w:val="00470AF4"/>
    <w:rsid w:val="004714CA"/>
    <w:rsid w:val="0047183A"/>
    <w:rsid w:val="00472059"/>
    <w:rsid w:val="004736F1"/>
    <w:rsid w:val="0047376E"/>
    <w:rsid w:val="00473C98"/>
    <w:rsid w:val="0047452C"/>
    <w:rsid w:val="0047498D"/>
    <w:rsid w:val="00475D94"/>
    <w:rsid w:val="00475F25"/>
    <w:rsid w:val="004760B7"/>
    <w:rsid w:val="00476318"/>
    <w:rsid w:val="0047726B"/>
    <w:rsid w:val="0047793C"/>
    <w:rsid w:val="00477A5D"/>
    <w:rsid w:val="00477B2B"/>
    <w:rsid w:val="004803FC"/>
    <w:rsid w:val="00480B45"/>
    <w:rsid w:val="00480BF5"/>
    <w:rsid w:val="00481133"/>
    <w:rsid w:val="00481563"/>
    <w:rsid w:val="00482A70"/>
    <w:rsid w:val="004833AC"/>
    <w:rsid w:val="0048408D"/>
    <w:rsid w:val="0048459D"/>
    <w:rsid w:val="00484BDA"/>
    <w:rsid w:val="004858AB"/>
    <w:rsid w:val="004859FF"/>
    <w:rsid w:val="00485DFC"/>
    <w:rsid w:val="0048619E"/>
    <w:rsid w:val="00487A0C"/>
    <w:rsid w:val="00487AF2"/>
    <w:rsid w:val="00490C73"/>
    <w:rsid w:val="0049126A"/>
    <w:rsid w:val="00491279"/>
    <w:rsid w:val="004922ED"/>
    <w:rsid w:val="004923F5"/>
    <w:rsid w:val="00493329"/>
    <w:rsid w:val="00493939"/>
    <w:rsid w:val="00493DF2"/>
    <w:rsid w:val="00495181"/>
    <w:rsid w:val="004954AD"/>
    <w:rsid w:val="00495739"/>
    <w:rsid w:val="00495BAD"/>
    <w:rsid w:val="004960FD"/>
    <w:rsid w:val="004963C6"/>
    <w:rsid w:val="0049679C"/>
    <w:rsid w:val="00496D22"/>
    <w:rsid w:val="00496FB5"/>
    <w:rsid w:val="00497321"/>
    <w:rsid w:val="004A0454"/>
    <w:rsid w:val="004A070A"/>
    <w:rsid w:val="004A1917"/>
    <w:rsid w:val="004A225A"/>
    <w:rsid w:val="004A36A9"/>
    <w:rsid w:val="004A445E"/>
    <w:rsid w:val="004A4C46"/>
    <w:rsid w:val="004A4D5C"/>
    <w:rsid w:val="004A4EAC"/>
    <w:rsid w:val="004A4F7C"/>
    <w:rsid w:val="004A63D9"/>
    <w:rsid w:val="004A6AC2"/>
    <w:rsid w:val="004A7813"/>
    <w:rsid w:val="004A7C5B"/>
    <w:rsid w:val="004A7CB8"/>
    <w:rsid w:val="004B03DB"/>
    <w:rsid w:val="004B1177"/>
    <w:rsid w:val="004B346F"/>
    <w:rsid w:val="004B37EE"/>
    <w:rsid w:val="004B3882"/>
    <w:rsid w:val="004B499F"/>
    <w:rsid w:val="004B5574"/>
    <w:rsid w:val="004B72D9"/>
    <w:rsid w:val="004C029A"/>
    <w:rsid w:val="004C0887"/>
    <w:rsid w:val="004C17C0"/>
    <w:rsid w:val="004C1882"/>
    <w:rsid w:val="004C1DEF"/>
    <w:rsid w:val="004C1E09"/>
    <w:rsid w:val="004C2D45"/>
    <w:rsid w:val="004C332D"/>
    <w:rsid w:val="004C47D3"/>
    <w:rsid w:val="004D0401"/>
    <w:rsid w:val="004D0BCA"/>
    <w:rsid w:val="004D2495"/>
    <w:rsid w:val="004D2929"/>
    <w:rsid w:val="004D2E89"/>
    <w:rsid w:val="004D3059"/>
    <w:rsid w:val="004D384D"/>
    <w:rsid w:val="004D4AF6"/>
    <w:rsid w:val="004D4F51"/>
    <w:rsid w:val="004D4F57"/>
    <w:rsid w:val="004D5343"/>
    <w:rsid w:val="004D57DF"/>
    <w:rsid w:val="004D7055"/>
    <w:rsid w:val="004D78E2"/>
    <w:rsid w:val="004E2B4D"/>
    <w:rsid w:val="004E4254"/>
    <w:rsid w:val="004E4C9D"/>
    <w:rsid w:val="004E6BE5"/>
    <w:rsid w:val="004F2199"/>
    <w:rsid w:val="004F2252"/>
    <w:rsid w:val="004F4AAA"/>
    <w:rsid w:val="004F5185"/>
    <w:rsid w:val="004F5266"/>
    <w:rsid w:val="004F56B4"/>
    <w:rsid w:val="00502FD8"/>
    <w:rsid w:val="00503208"/>
    <w:rsid w:val="005047F0"/>
    <w:rsid w:val="0050487D"/>
    <w:rsid w:val="00504FA1"/>
    <w:rsid w:val="00506990"/>
    <w:rsid w:val="00507D73"/>
    <w:rsid w:val="00507E62"/>
    <w:rsid w:val="00510035"/>
    <w:rsid w:val="00510750"/>
    <w:rsid w:val="00510F52"/>
    <w:rsid w:val="00511645"/>
    <w:rsid w:val="00511788"/>
    <w:rsid w:val="0051189F"/>
    <w:rsid w:val="0051284B"/>
    <w:rsid w:val="00513A77"/>
    <w:rsid w:val="0051435C"/>
    <w:rsid w:val="00514665"/>
    <w:rsid w:val="00514C5C"/>
    <w:rsid w:val="00515094"/>
    <w:rsid w:val="00515DB3"/>
    <w:rsid w:val="00516836"/>
    <w:rsid w:val="00516E11"/>
    <w:rsid w:val="0051725B"/>
    <w:rsid w:val="00517A0C"/>
    <w:rsid w:val="00521A69"/>
    <w:rsid w:val="00522ADF"/>
    <w:rsid w:val="00522DBA"/>
    <w:rsid w:val="00523607"/>
    <w:rsid w:val="00524643"/>
    <w:rsid w:val="005246D3"/>
    <w:rsid w:val="00524994"/>
    <w:rsid w:val="0052733E"/>
    <w:rsid w:val="00527DB4"/>
    <w:rsid w:val="0053061B"/>
    <w:rsid w:val="00531350"/>
    <w:rsid w:val="005329F4"/>
    <w:rsid w:val="00532C4F"/>
    <w:rsid w:val="00534038"/>
    <w:rsid w:val="00535ED8"/>
    <w:rsid w:val="00537695"/>
    <w:rsid w:val="00537C38"/>
    <w:rsid w:val="00537E53"/>
    <w:rsid w:val="00541874"/>
    <w:rsid w:val="005428F2"/>
    <w:rsid w:val="00544EB0"/>
    <w:rsid w:val="00546251"/>
    <w:rsid w:val="00546806"/>
    <w:rsid w:val="005468A6"/>
    <w:rsid w:val="00546E4A"/>
    <w:rsid w:val="005473FC"/>
    <w:rsid w:val="00547F34"/>
    <w:rsid w:val="005508F8"/>
    <w:rsid w:val="005514E2"/>
    <w:rsid w:val="0055176F"/>
    <w:rsid w:val="00551F63"/>
    <w:rsid w:val="00552238"/>
    <w:rsid w:val="0055227E"/>
    <w:rsid w:val="00552EA2"/>
    <w:rsid w:val="00553B43"/>
    <w:rsid w:val="00553D7D"/>
    <w:rsid w:val="00554278"/>
    <w:rsid w:val="0055523F"/>
    <w:rsid w:val="005566E4"/>
    <w:rsid w:val="00556B46"/>
    <w:rsid w:val="00557B5C"/>
    <w:rsid w:val="00560DE3"/>
    <w:rsid w:val="00560F3D"/>
    <w:rsid w:val="00561476"/>
    <w:rsid w:val="00561755"/>
    <w:rsid w:val="00562383"/>
    <w:rsid w:val="0056259C"/>
    <w:rsid w:val="005627E4"/>
    <w:rsid w:val="005648CF"/>
    <w:rsid w:val="00565002"/>
    <w:rsid w:val="00566333"/>
    <w:rsid w:val="00566864"/>
    <w:rsid w:val="00567107"/>
    <w:rsid w:val="005677FD"/>
    <w:rsid w:val="00567EA0"/>
    <w:rsid w:val="00570575"/>
    <w:rsid w:val="00570AE6"/>
    <w:rsid w:val="00570D30"/>
    <w:rsid w:val="0057289C"/>
    <w:rsid w:val="00572E38"/>
    <w:rsid w:val="00573085"/>
    <w:rsid w:val="00574BEF"/>
    <w:rsid w:val="0057631A"/>
    <w:rsid w:val="00576351"/>
    <w:rsid w:val="00576662"/>
    <w:rsid w:val="005768FC"/>
    <w:rsid w:val="005770A4"/>
    <w:rsid w:val="005817B3"/>
    <w:rsid w:val="00581E57"/>
    <w:rsid w:val="00582467"/>
    <w:rsid w:val="00582C6B"/>
    <w:rsid w:val="0058329B"/>
    <w:rsid w:val="00583D2E"/>
    <w:rsid w:val="00583FC5"/>
    <w:rsid w:val="00584520"/>
    <w:rsid w:val="00584664"/>
    <w:rsid w:val="00587E56"/>
    <w:rsid w:val="0059024A"/>
    <w:rsid w:val="00590916"/>
    <w:rsid w:val="005912F7"/>
    <w:rsid w:val="00591EBB"/>
    <w:rsid w:val="005921DD"/>
    <w:rsid w:val="00592478"/>
    <w:rsid w:val="005936B7"/>
    <w:rsid w:val="00594D42"/>
    <w:rsid w:val="00594F20"/>
    <w:rsid w:val="00595116"/>
    <w:rsid w:val="005A0FB6"/>
    <w:rsid w:val="005A119A"/>
    <w:rsid w:val="005A1EC6"/>
    <w:rsid w:val="005A36F5"/>
    <w:rsid w:val="005A4223"/>
    <w:rsid w:val="005A6715"/>
    <w:rsid w:val="005A6EB8"/>
    <w:rsid w:val="005B0BB7"/>
    <w:rsid w:val="005B0C23"/>
    <w:rsid w:val="005B10FE"/>
    <w:rsid w:val="005B16AF"/>
    <w:rsid w:val="005B185A"/>
    <w:rsid w:val="005B4950"/>
    <w:rsid w:val="005B59D0"/>
    <w:rsid w:val="005B60B4"/>
    <w:rsid w:val="005B63BE"/>
    <w:rsid w:val="005B75B0"/>
    <w:rsid w:val="005C0208"/>
    <w:rsid w:val="005C27C5"/>
    <w:rsid w:val="005C282E"/>
    <w:rsid w:val="005C3D18"/>
    <w:rsid w:val="005C3FD8"/>
    <w:rsid w:val="005C408D"/>
    <w:rsid w:val="005C4FBD"/>
    <w:rsid w:val="005C7A4A"/>
    <w:rsid w:val="005D046C"/>
    <w:rsid w:val="005D05E2"/>
    <w:rsid w:val="005D0696"/>
    <w:rsid w:val="005D071D"/>
    <w:rsid w:val="005D0810"/>
    <w:rsid w:val="005D1919"/>
    <w:rsid w:val="005D1A0E"/>
    <w:rsid w:val="005D1A4E"/>
    <w:rsid w:val="005D1F7D"/>
    <w:rsid w:val="005D2BB6"/>
    <w:rsid w:val="005D3343"/>
    <w:rsid w:val="005D6606"/>
    <w:rsid w:val="005D6AA4"/>
    <w:rsid w:val="005D6C5C"/>
    <w:rsid w:val="005D6D2F"/>
    <w:rsid w:val="005D719D"/>
    <w:rsid w:val="005E0307"/>
    <w:rsid w:val="005E0A59"/>
    <w:rsid w:val="005E1F90"/>
    <w:rsid w:val="005E2F46"/>
    <w:rsid w:val="005E2FE9"/>
    <w:rsid w:val="005E34C5"/>
    <w:rsid w:val="005E353F"/>
    <w:rsid w:val="005E42ED"/>
    <w:rsid w:val="005E4D29"/>
    <w:rsid w:val="005E4E9F"/>
    <w:rsid w:val="005E589A"/>
    <w:rsid w:val="005E6E33"/>
    <w:rsid w:val="005F07E6"/>
    <w:rsid w:val="005F07FE"/>
    <w:rsid w:val="005F12BC"/>
    <w:rsid w:val="005F1E3E"/>
    <w:rsid w:val="005F1EA5"/>
    <w:rsid w:val="005F1FE6"/>
    <w:rsid w:val="005F2020"/>
    <w:rsid w:val="005F24E8"/>
    <w:rsid w:val="005F359E"/>
    <w:rsid w:val="005F3A3A"/>
    <w:rsid w:val="005F3F3C"/>
    <w:rsid w:val="005F4534"/>
    <w:rsid w:val="005F4DA7"/>
    <w:rsid w:val="005F65FA"/>
    <w:rsid w:val="0060007F"/>
    <w:rsid w:val="00600742"/>
    <w:rsid w:val="00601B09"/>
    <w:rsid w:val="0060231F"/>
    <w:rsid w:val="006025B9"/>
    <w:rsid w:val="00602BEC"/>
    <w:rsid w:val="00603B91"/>
    <w:rsid w:val="00605236"/>
    <w:rsid w:val="00606C5B"/>
    <w:rsid w:val="00607DB8"/>
    <w:rsid w:val="00607DD5"/>
    <w:rsid w:val="00607E5E"/>
    <w:rsid w:val="00610541"/>
    <w:rsid w:val="00610F99"/>
    <w:rsid w:val="00611A9D"/>
    <w:rsid w:val="0061200B"/>
    <w:rsid w:val="0061264F"/>
    <w:rsid w:val="0061265B"/>
    <w:rsid w:val="00612AD0"/>
    <w:rsid w:val="00613452"/>
    <w:rsid w:val="006137AC"/>
    <w:rsid w:val="00614D33"/>
    <w:rsid w:val="006152D6"/>
    <w:rsid w:val="0061555E"/>
    <w:rsid w:val="00615A7B"/>
    <w:rsid w:val="00616D8E"/>
    <w:rsid w:val="006179CF"/>
    <w:rsid w:val="0062143A"/>
    <w:rsid w:val="006215CF"/>
    <w:rsid w:val="006217C8"/>
    <w:rsid w:val="006226C1"/>
    <w:rsid w:val="0062281D"/>
    <w:rsid w:val="00623321"/>
    <w:rsid w:val="006234CF"/>
    <w:rsid w:val="00626A96"/>
    <w:rsid w:val="00627B90"/>
    <w:rsid w:val="00630086"/>
    <w:rsid w:val="00630616"/>
    <w:rsid w:val="00630BF5"/>
    <w:rsid w:val="00631AC4"/>
    <w:rsid w:val="0063201B"/>
    <w:rsid w:val="0063344C"/>
    <w:rsid w:val="00633C4D"/>
    <w:rsid w:val="00633D8F"/>
    <w:rsid w:val="0063466A"/>
    <w:rsid w:val="00641448"/>
    <w:rsid w:val="006417F1"/>
    <w:rsid w:val="00642505"/>
    <w:rsid w:val="00643374"/>
    <w:rsid w:val="00644453"/>
    <w:rsid w:val="00644E9B"/>
    <w:rsid w:val="00645B5B"/>
    <w:rsid w:val="00646CD7"/>
    <w:rsid w:val="00650C36"/>
    <w:rsid w:val="00653779"/>
    <w:rsid w:val="00653D58"/>
    <w:rsid w:val="00653F96"/>
    <w:rsid w:val="0065469D"/>
    <w:rsid w:val="006555B9"/>
    <w:rsid w:val="00655609"/>
    <w:rsid w:val="006575AF"/>
    <w:rsid w:val="00660047"/>
    <w:rsid w:val="00661662"/>
    <w:rsid w:val="00662644"/>
    <w:rsid w:val="006652D7"/>
    <w:rsid w:val="00665C0C"/>
    <w:rsid w:val="00665D05"/>
    <w:rsid w:val="00666F30"/>
    <w:rsid w:val="00667E90"/>
    <w:rsid w:val="006700F3"/>
    <w:rsid w:val="006705ED"/>
    <w:rsid w:val="00671E0E"/>
    <w:rsid w:val="00672064"/>
    <w:rsid w:val="00672646"/>
    <w:rsid w:val="00672C4D"/>
    <w:rsid w:val="00672D9A"/>
    <w:rsid w:val="006730C8"/>
    <w:rsid w:val="00673B9A"/>
    <w:rsid w:val="00673E32"/>
    <w:rsid w:val="006742B2"/>
    <w:rsid w:val="00674B58"/>
    <w:rsid w:val="006760C4"/>
    <w:rsid w:val="006761BB"/>
    <w:rsid w:val="00677813"/>
    <w:rsid w:val="00677D52"/>
    <w:rsid w:val="00677EDA"/>
    <w:rsid w:val="006806B7"/>
    <w:rsid w:val="0068082C"/>
    <w:rsid w:val="006820ED"/>
    <w:rsid w:val="006827D7"/>
    <w:rsid w:val="0068318D"/>
    <w:rsid w:val="00683990"/>
    <w:rsid w:val="00684452"/>
    <w:rsid w:val="00686362"/>
    <w:rsid w:val="00686D33"/>
    <w:rsid w:val="0068712B"/>
    <w:rsid w:val="006873E9"/>
    <w:rsid w:val="00687C1B"/>
    <w:rsid w:val="00690578"/>
    <w:rsid w:val="00690860"/>
    <w:rsid w:val="00691C36"/>
    <w:rsid w:val="006924D2"/>
    <w:rsid w:val="00693FA1"/>
    <w:rsid w:val="0069495D"/>
    <w:rsid w:val="00696D65"/>
    <w:rsid w:val="006975F2"/>
    <w:rsid w:val="00697786"/>
    <w:rsid w:val="006A0305"/>
    <w:rsid w:val="006A0616"/>
    <w:rsid w:val="006A09BE"/>
    <w:rsid w:val="006A122B"/>
    <w:rsid w:val="006A14CB"/>
    <w:rsid w:val="006A1985"/>
    <w:rsid w:val="006A1A7D"/>
    <w:rsid w:val="006A1A97"/>
    <w:rsid w:val="006A272A"/>
    <w:rsid w:val="006A2F01"/>
    <w:rsid w:val="006A2F83"/>
    <w:rsid w:val="006A35D1"/>
    <w:rsid w:val="006A461F"/>
    <w:rsid w:val="006A4C42"/>
    <w:rsid w:val="006A4DD5"/>
    <w:rsid w:val="006A6603"/>
    <w:rsid w:val="006A7E85"/>
    <w:rsid w:val="006B04F2"/>
    <w:rsid w:val="006B184D"/>
    <w:rsid w:val="006B1BF0"/>
    <w:rsid w:val="006B3F6E"/>
    <w:rsid w:val="006B413C"/>
    <w:rsid w:val="006B453B"/>
    <w:rsid w:val="006B577A"/>
    <w:rsid w:val="006B621A"/>
    <w:rsid w:val="006B74B1"/>
    <w:rsid w:val="006B7836"/>
    <w:rsid w:val="006C1139"/>
    <w:rsid w:val="006C3445"/>
    <w:rsid w:val="006C3A2B"/>
    <w:rsid w:val="006C3BB3"/>
    <w:rsid w:val="006C3E55"/>
    <w:rsid w:val="006C4FDD"/>
    <w:rsid w:val="006C515C"/>
    <w:rsid w:val="006C58BD"/>
    <w:rsid w:val="006C5EEC"/>
    <w:rsid w:val="006C6632"/>
    <w:rsid w:val="006D0466"/>
    <w:rsid w:val="006D0942"/>
    <w:rsid w:val="006D1151"/>
    <w:rsid w:val="006D3CD6"/>
    <w:rsid w:val="006D409D"/>
    <w:rsid w:val="006D4488"/>
    <w:rsid w:val="006D4CA8"/>
    <w:rsid w:val="006D58E2"/>
    <w:rsid w:val="006D6380"/>
    <w:rsid w:val="006D638F"/>
    <w:rsid w:val="006D673A"/>
    <w:rsid w:val="006D68A9"/>
    <w:rsid w:val="006D7A3F"/>
    <w:rsid w:val="006D7CC8"/>
    <w:rsid w:val="006E0CE1"/>
    <w:rsid w:val="006E14B7"/>
    <w:rsid w:val="006E1621"/>
    <w:rsid w:val="006E3B67"/>
    <w:rsid w:val="006E3EEB"/>
    <w:rsid w:val="006E45C9"/>
    <w:rsid w:val="006E46DA"/>
    <w:rsid w:val="006E6225"/>
    <w:rsid w:val="006E683D"/>
    <w:rsid w:val="006E6B73"/>
    <w:rsid w:val="006E6ED6"/>
    <w:rsid w:val="006E7360"/>
    <w:rsid w:val="006E7488"/>
    <w:rsid w:val="006E77CE"/>
    <w:rsid w:val="006F0F7A"/>
    <w:rsid w:val="006F1B82"/>
    <w:rsid w:val="006F2FBE"/>
    <w:rsid w:val="006F3A1E"/>
    <w:rsid w:val="006F3F76"/>
    <w:rsid w:val="006F4AAE"/>
    <w:rsid w:val="006F4E06"/>
    <w:rsid w:val="006F513E"/>
    <w:rsid w:val="006F59DB"/>
    <w:rsid w:val="006F7926"/>
    <w:rsid w:val="00703543"/>
    <w:rsid w:val="0070459A"/>
    <w:rsid w:val="00704610"/>
    <w:rsid w:val="00704A4E"/>
    <w:rsid w:val="0071097B"/>
    <w:rsid w:val="007115F1"/>
    <w:rsid w:val="007116ED"/>
    <w:rsid w:val="00712E8E"/>
    <w:rsid w:val="00713103"/>
    <w:rsid w:val="007136B0"/>
    <w:rsid w:val="007200D2"/>
    <w:rsid w:val="00720FCD"/>
    <w:rsid w:val="00721F6E"/>
    <w:rsid w:val="00723BCD"/>
    <w:rsid w:val="00724114"/>
    <w:rsid w:val="0072538A"/>
    <w:rsid w:val="00725524"/>
    <w:rsid w:val="0072564F"/>
    <w:rsid w:val="0072601D"/>
    <w:rsid w:val="007260BD"/>
    <w:rsid w:val="0072658F"/>
    <w:rsid w:val="00726889"/>
    <w:rsid w:val="00727487"/>
    <w:rsid w:val="00727AC8"/>
    <w:rsid w:val="00730E37"/>
    <w:rsid w:val="0073122E"/>
    <w:rsid w:val="0073282C"/>
    <w:rsid w:val="00732ED5"/>
    <w:rsid w:val="0073374B"/>
    <w:rsid w:val="00733C24"/>
    <w:rsid w:val="007345B2"/>
    <w:rsid w:val="007364E7"/>
    <w:rsid w:val="0073677F"/>
    <w:rsid w:val="00737401"/>
    <w:rsid w:val="00737B5B"/>
    <w:rsid w:val="00737CFA"/>
    <w:rsid w:val="00742B60"/>
    <w:rsid w:val="00746556"/>
    <w:rsid w:val="007466C8"/>
    <w:rsid w:val="007469CE"/>
    <w:rsid w:val="00747B9C"/>
    <w:rsid w:val="007501EB"/>
    <w:rsid w:val="00750A06"/>
    <w:rsid w:val="0075104E"/>
    <w:rsid w:val="00751755"/>
    <w:rsid w:val="00751D85"/>
    <w:rsid w:val="00751E3E"/>
    <w:rsid w:val="00752BA4"/>
    <w:rsid w:val="00753242"/>
    <w:rsid w:val="00753BA4"/>
    <w:rsid w:val="00755800"/>
    <w:rsid w:val="00755A25"/>
    <w:rsid w:val="00755D40"/>
    <w:rsid w:val="0075623E"/>
    <w:rsid w:val="0075753A"/>
    <w:rsid w:val="00757FD5"/>
    <w:rsid w:val="00760362"/>
    <w:rsid w:val="00760A68"/>
    <w:rsid w:val="0076157D"/>
    <w:rsid w:val="0076158F"/>
    <w:rsid w:val="00762735"/>
    <w:rsid w:val="0076305C"/>
    <w:rsid w:val="00763539"/>
    <w:rsid w:val="00763706"/>
    <w:rsid w:val="00765679"/>
    <w:rsid w:val="0076702D"/>
    <w:rsid w:val="00767175"/>
    <w:rsid w:val="00770E44"/>
    <w:rsid w:val="00771E2F"/>
    <w:rsid w:val="00772DC5"/>
    <w:rsid w:val="0077318B"/>
    <w:rsid w:val="00776ED8"/>
    <w:rsid w:val="00777628"/>
    <w:rsid w:val="0078004E"/>
    <w:rsid w:val="00780D10"/>
    <w:rsid w:val="00781FF3"/>
    <w:rsid w:val="0078229A"/>
    <w:rsid w:val="0078317D"/>
    <w:rsid w:val="007833DA"/>
    <w:rsid w:val="00783618"/>
    <w:rsid w:val="00785BDA"/>
    <w:rsid w:val="00786133"/>
    <w:rsid w:val="00786291"/>
    <w:rsid w:val="0078693A"/>
    <w:rsid w:val="0078756F"/>
    <w:rsid w:val="00790266"/>
    <w:rsid w:val="00791A97"/>
    <w:rsid w:val="00792518"/>
    <w:rsid w:val="00793D8A"/>
    <w:rsid w:val="007951E3"/>
    <w:rsid w:val="0079532C"/>
    <w:rsid w:val="00795DAB"/>
    <w:rsid w:val="007966AE"/>
    <w:rsid w:val="00796F3C"/>
    <w:rsid w:val="00797969"/>
    <w:rsid w:val="007A02CF"/>
    <w:rsid w:val="007A0801"/>
    <w:rsid w:val="007A09FB"/>
    <w:rsid w:val="007A2F02"/>
    <w:rsid w:val="007A329D"/>
    <w:rsid w:val="007A332C"/>
    <w:rsid w:val="007A3D71"/>
    <w:rsid w:val="007A3F7A"/>
    <w:rsid w:val="007A4419"/>
    <w:rsid w:val="007A4DC1"/>
    <w:rsid w:val="007A4EDA"/>
    <w:rsid w:val="007A51DE"/>
    <w:rsid w:val="007A54BE"/>
    <w:rsid w:val="007A5969"/>
    <w:rsid w:val="007A658F"/>
    <w:rsid w:val="007A6AC0"/>
    <w:rsid w:val="007A7138"/>
    <w:rsid w:val="007B3803"/>
    <w:rsid w:val="007B49CF"/>
    <w:rsid w:val="007B5DBA"/>
    <w:rsid w:val="007B5EB5"/>
    <w:rsid w:val="007B70DF"/>
    <w:rsid w:val="007B7830"/>
    <w:rsid w:val="007C0667"/>
    <w:rsid w:val="007C1B0A"/>
    <w:rsid w:val="007C2BF1"/>
    <w:rsid w:val="007C4B13"/>
    <w:rsid w:val="007C508D"/>
    <w:rsid w:val="007C566A"/>
    <w:rsid w:val="007C59A7"/>
    <w:rsid w:val="007C61FB"/>
    <w:rsid w:val="007C6668"/>
    <w:rsid w:val="007D0C0F"/>
    <w:rsid w:val="007D0C5B"/>
    <w:rsid w:val="007D25C5"/>
    <w:rsid w:val="007D3770"/>
    <w:rsid w:val="007D3C29"/>
    <w:rsid w:val="007D420C"/>
    <w:rsid w:val="007D6AD1"/>
    <w:rsid w:val="007D7B0E"/>
    <w:rsid w:val="007E00AA"/>
    <w:rsid w:val="007E0E8E"/>
    <w:rsid w:val="007E3C3E"/>
    <w:rsid w:val="007E4272"/>
    <w:rsid w:val="007E46F9"/>
    <w:rsid w:val="007E4943"/>
    <w:rsid w:val="007E6948"/>
    <w:rsid w:val="007F0562"/>
    <w:rsid w:val="007F1282"/>
    <w:rsid w:val="007F173A"/>
    <w:rsid w:val="007F23DD"/>
    <w:rsid w:val="007F3751"/>
    <w:rsid w:val="007F443B"/>
    <w:rsid w:val="007F5DA1"/>
    <w:rsid w:val="007F5E7C"/>
    <w:rsid w:val="007F6DC4"/>
    <w:rsid w:val="007F6E83"/>
    <w:rsid w:val="007F7C04"/>
    <w:rsid w:val="008001CE"/>
    <w:rsid w:val="00800357"/>
    <w:rsid w:val="00800DD1"/>
    <w:rsid w:val="00801208"/>
    <w:rsid w:val="0080154E"/>
    <w:rsid w:val="008016E6"/>
    <w:rsid w:val="00803856"/>
    <w:rsid w:val="008039BC"/>
    <w:rsid w:val="00805082"/>
    <w:rsid w:val="008053BE"/>
    <w:rsid w:val="008057FA"/>
    <w:rsid w:val="008059DA"/>
    <w:rsid w:val="00805F72"/>
    <w:rsid w:val="00807340"/>
    <w:rsid w:val="00807781"/>
    <w:rsid w:val="008102C1"/>
    <w:rsid w:val="00810BD2"/>
    <w:rsid w:val="0081166E"/>
    <w:rsid w:val="00812B44"/>
    <w:rsid w:val="00812D50"/>
    <w:rsid w:val="008133ED"/>
    <w:rsid w:val="00814D23"/>
    <w:rsid w:val="00815B8B"/>
    <w:rsid w:val="00815F8F"/>
    <w:rsid w:val="00816A5F"/>
    <w:rsid w:val="00817443"/>
    <w:rsid w:val="0082015F"/>
    <w:rsid w:val="00820AB3"/>
    <w:rsid w:val="00821044"/>
    <w:rsid w:val="008218A7"/>
    <w:rsid w:val="00822181"/>
    <w:rsid w:val="0082301F"/>
    <w:rsid w:val="008245F0"/>
    <w:rsid w:val="00824719"/>
    <w:rsid w:val="008257AD"/>
    <w:rsid w:val="00825B48"/>
    <w:rsid w:val="00825E5E"/>
    <w:rsid w:val="0082652A"/>
    <w:rsid w:val="00826C88"/>
    <w:rsid w:val="008279F2"/>
    <w:rsid w:val="008304B8"/>
    <w:rsid w:val="008306AC"/>
    <w:rsid w:val="008306D2"/>
    <w:rsid w:val="00831681"/>
    <w:rsid w:val="00831A53"/>
    <w:rsid w:val="00832330"/>
    <w:rsid w:val="00833278"/>
    <w:rsid w:val="00833801"/>
    <w:rsid w:val="00833C83"/>
    <w:rsid w:val="00834C9F"/>
    <w:rsid w:val="008353D6"/>
    <w:rsid w:val="00835C06"/>
    <w:rsid w:val="00835DE2"/>
    <w:rsid w:val="0083601C"/>
    <w:rsid w:val="008364A5"/>
    <w:rsid w:val="008375EA"/>
    <w:rsid w:val="00837A54"/>
    <w:rsid w:val="0084110D"/>
    <w:rsid w:val="00841B55"/>
    <w:rsid w:val="00841C60"/>
    <w:rsid w:val="00842C88"/>
    <w:rsid w:val="00842DC4"/>
    <w:rsid w:val="00843691"/>
    <w:rsid w:val="00843834"/>
    <w:rsid w:val="0084433E"/>
    <w:rsid w:val="008449AE"/>
    <w:rsid w:val="00844DE7"/>
    <w:rsid w:val="008452A9"/>
    <w:rsid w:val="00846482"/>
    <w:rsid w:val="00846522"/>
    <w:rsid w:val="00847583"/>
    <w:rsid w:val="0084771B"/>
    <w:rsid w:val="00851644"/>
    <w:rsid w:val="00855519"/>
    <w:rsid w:val="008555D4"/>
    <w:rsid w:val="0085674F"/>
    <w:rsid w:val="00856B3F"/>
    <w:rsid w:val="00857817"/>
    <w:rsid w:val="00857876"/>
    <w:rsid w:val="0086049E"/>
    <w:rsid w:val="00861A08"/>
    <w:rsid w:val="00861E25"/>
    <w:rsid w:val="008620D6"/>
    <w:rsid w:val="00862EC0"/>
    <w:rsid w:val="00863D48"/>
    <w:rsid w:val="0086591C"/>
    <w:rsid w:val="00866AA5"/>
    <w:rsid w:val="00866D8C"/>
    <w:rsid w:val="008679A8"/>
    <w:rsid w:val="00870122"/>
    <w:rsid w:val="00870163"/>
    <w:rsid w:val="0087080B"/>
    <w:rsid w:val="00870BB0"/>
    <w:rsid w:val="008718FB"/>
    <w:rsid w:val="0087232C"/>
    <w:rsid w:val="00873A5D"/>
    <w:rsid w:val="00875173"/>
    <w:rsid w:val="0087633A"/>
    <w:rsid w:val="00880658"/>
    <w:rsid w:val="008817BA"/>
    <w:rsid w:val="00881CF1"/>
    <w:rsid w:val="00881E7C"/>
    <w:rsid w:val="00882EB3"/>
    <w:rsid w:val="0088602A"/>
    <w:rsid w:val="00886D64"/>
    <w:rsid w:val="008910E7"/>
    <w:rsid w:val="00891AB1"/>
    <w:rsid w:val="00891AEE"/>
    <w:rsid w:val="00891C3B"/>
    <w:rsid w:val="0089232A"/>
    <w:rsid w:val="00892486"/>
    <w:rsid w:val="00892506"/>
    <w:rsid w:val="008925AD"/>
    <w:rsid w:val="00892A6F"/>
    <w:rsid w:val="00895727"/>
    <w:rsid w:val="008960B9"/>
    <w:rsid w:val="00897822"/>
    <w:rsid w:val="008A05C8"/>
    <w:rsid w:val="008A05E9"/>
    <w:rsid w:val="008A0A50"/>
    <w:rsid w:val="008A0A65"/>
    <w:rsid w:val="008A0F7E"/>
    <w:rsid w:val="008A15D1"/>
    <w:rsid w:val="008A177A"/>
    <w:rsid w:val="008A20D3"/>
    <w:rsid w:val="008A3782"/>
    <w:rsid w:val="008A4580"/>
    <w:rsid w:val="008A4BA1"/>
    <w:rsid w:val="008A581E"/>
    <w:rsid w:val="008A7A07"/>
    <w:rsid w:val="008B00C3"/>
    <w:rsid w:val="008B11C7"/>
    <w:rsid w:val="008B12C8"/>
    <w:rsid w:val="008B1521"/>
    <w:rsid w:val="008B1A98"/>
    <w:rsid w:val="008B3424"/>
    <w:rsid w:val="008B379B"/>
    <w:rsid w:val="008B39C8"/>
    <w:rsid w:val="008B5BDA"/>
    <w:rsid w:val="008B620D"/>
    <w:rsid w:val="008B7210"/>
    <w:rsid w:val="008C0774"/>
    <w:rsid w:val="008C0EC6"/>
    <w:rsid w:val="008C107C"/>
    <w:rsid w:val="008C1D9F"/>
    <w:rsid w:val="008C22F1"/>
    <w:rsid w:val="008C3D36"/>
    <w:rsid w:val="008C3E29"/>
    <w:rsid w:val="008C44FE"/>
    <w:rsid w:val="008C49CB"/>
    <w:rsid w:val="008C5739"/>
    <w:rsid w:val="008C62C9"/>
    <w:rsid w:val="008C64AB"/>
    <w:rsid w:val="008C65AF"/>
    <w:rsid w:val="008C73C3"/>
    <w:rsid w:val="008C7C3B"/>
    <w:rsid w:val="008C7D90"/>
    <w:rsid w:val="008D0BBC"/>
    <w:rsid w:val="008D0FA0"/>
    <w:rsid w:val="008D1E12"/>
    <w:rsid w:val="008D34EF"/>
    <w:rsid w:val="008D3EAF"/>
    <w:rsid w:val="008D43C7"/>
    <w:rsid w:val="008D43DE"/>
    <w:rsid w:val="008D65A8"/>
    <w:rsid w:val="008D6F94"/>
    <w:rsid w:val="008D75DB"/>
    <w:rsid w:val="008E01BC"/>
    <w:rsid w:val="008E0279"/>
    <w:rsid w:val="008E12A9"/>
    <w:rsid w:val="008E143D"/>
    <w:rsid w:val="008E4B86"/>
    <w:rsid w:val="008E4D5F"/>
    <w:rsid w:val="008E6435"/>
    <w:rsid w:val="008E74C0"/>
    <w:rsid w:val="008E7AEC"/>
    <w:rsid w:val="008F0192"/>
    <w:rsid w:val="008F0718"/>
    <w:rsid w:val="008F0E05"/>
    <w:rsid w:val="008F0FE0"/>
    <w:rsid w:val="008F1032"/>
    <w:rsid w:val="008F10FB"/>
    <w:rsid w:val="008F2769"/>
    <w:rsid w:val="008F3A94"/>
    <w:rsid w:val="008F3C15"/>
    <w:rsid w:val="008F5E53"/>
    <w:rsid w:val="008F7921"/>
    <w:rsid w:val="00900B5A"/>
    <w:rsid w:val="00901012"/>
    <w:rsid w:val="009011AC"/>
    <w:rsid w:val="009014FA"/>
    <w:rsid w:val="00901553"/>
    <w:rsid w:val="00902180"/>
    <w:rsid w:val="00903A72"/>
    <w:rsid w:val="00904146"/>
    <w:rsid w:val="00904427"/>
    <w:rsid w:val="00905886"/>
    <w:rsid w:val="00906617"/>
    <w:rsid w:val="009113A3"/>
    <w:rsid w:val="009116BD"/>
    <w:rsid w:val="00912354"/>
    <w:rsid w:val="0091242E"/>
    <w:rsid w:val="00912B0D"/>
    <w:rsid w:val="00913639"/>
    <w:rsid w:val="009141A2"/>
    <w:rsid w:val="00914546"/>
    <w:rsid w:val="009147CE"/>
    <w:rsid w:val="009147FD"/>
    <w:rsid w:val="00914D98"/>
    <w:rsid w:val="00915CC3"/>
    <w:rsid w:val="009162ED"/>
    <w:rsid w:val="009166F4"/>
    <w:rsid w:val="00917CE3"/>
    <w:rsid w:val="00917E25"/>
    <w:rsid w:val="00920122"/>
    <w:rsid w:val="009201AC"/>
    <w:rsid w:val="00920310"/>
    <w:rsid w:val="009203C1"/>
    <w:rsid w:val="009203E0"/>
    <w:rsid w:val="00920C9C"/>
    <w:rsid w:val="00921831"/>
    <w:rsid w:val="00922A36"/>
    <w:rsid w:val="0092355C"/>
    <w:rsid w:val="009241F9"/>
    <w:rsid w:val="009246BA"/>
    <w:rsid w:val="009255E2"/>
    <w:rsid w:val="009259B2"/>
    <w:rsid w:val="00925CEC"/>
    <w:rsid w:val="0092659B"/>
    <w:rsid w:val="00926848"/>
    <w:rsid w:val="00927F11"/>
    <w:rsid w:val="009313E1"/>
    <w:rsid w:val="00932AF8"/>
    <w:rsid w:val="00933078"/>
    <w:rsid w:val="00933D49"/>
    <w:rsid w:val="00934986"/>
    <w:rsid w:val="00934AAA"/>
    <w:rsid w:val="0093568F"/>
    <w:rsid w:val="00935A7D"/>
    <w:rsid w:val="00935BA5"/>
    <w:rsid w:val="00935EBF"/>
    <w:rsid w:val="00936A15"/>
    <w:rsid w:val="00936B56"/>
    <w:rsid w:val="00940612"/>
    <w:rsid w:val="00941ECE"/>
    <w:rsid w:val="009421EF"/>
    <w:rsid w:val="009432F1"/>
    <w:rsid w:val="009448FF"/>
    <w:rsid w:val="0094585A"/>
    <w:rsid w:val="00946841"/>
    <w:rsid w:val="009502F3"/>
    <w:rsid w:val="00951E53"/>
    <w:rsid w:val="009522A2"/>
    <w:rsid w:val="00953BBF"/>
    <w:rsid w:val="00954A98"/>
    <w:rsid w:val="00954F2F"/>
    <w:rsid w:val="009552DE"/>
    <w:rsid w:val="00955C7C"/>
    <w:rsid w:val="009568BF"/>
    <w:rsid w:val="00956ED8"/>
    <w:rsid w:val="00957B40"/>
    <w:rsid w:val="0096007C"/>
    <w:rsid w:val="00960617"/>
    <w:rsid w:val="00961A93"/>
    <w:rsid w:val="0096225B"/>
    <w:rsid w:val="00963517"/>
    <w:rsid w:val="00963725"/>
    <w:rsid w:val="00963E45"/>
    <w:rsid w:val="009647B8"/>
    <w:rsid w:val="00966531"/>
    <w:rsid w:val="00966ECC"/>
    <w:rsid w:val="009670AD"/>
    <w:rsid w:val="009702C5"/>
    <w:rsid w:val="009711DC"/>
    <w:rsid w:val="00971870"/>
    <w:rsid w:val="00971E28"/>
    <w:rsid w:val="0097417C"/>
    <w:rsid w:val="00974EB5"/>
    <w:rsid w:val="0097554B"/>
    <w:rsid w:val="00975AAE"/>
    <w:rsid w:val="0097615A"/>
    <w:rsid w:val="00976EBE"/>
    <w:rsid w:val="00982318"/>
    <w:rsid w:val="00982E78"/>
    <w:rsid w:val="009846E4"/>
    <w:rsid w:val="00986613"/>
    <w:rsid w:val="00986A40"/>
    <w:rsid w:val="00987479"/>
    <w:rsid w:val="009912C2"/>
    <w:rsid w:val="00991D61"/>
    <w:rsid w:val="00991E8E"/>
    <w:rsid w:val="00993020"/>
    <w:rsid w:val="0099327D"/>
    <w:rsid w:val="0099370F"/>
    <w:rsid w:val="00993ED1"/>
    <w:rsid w:val="009942B7"/>
    <w:rsid w:val="0099469B"/>
    <w:rsid w:val="00994BD3"/>
    <w:rsid w:val="00994E4F"/>
    <w:rsid w:val="00994FEE"/>
    <w:rsid w:val="00996D8A"/>
    <w:rsid w:val="00996ED8"/>
    <w:rsid w:val="00997383"/>
    <w:rsid w:val="00997FC4"/>
    <w:rsid w:val="009A01A4"/>
    <w:rsid w:val="009A01DA"/>
    <w:rsid w:val="009A030E"/>
    <w:rsid w:val="009A096D"/>
    <w:rsid w:val="009A1146"/>
    <w:rsid w:val="009A1570"/>
    <w:rsid w:val="009A1C9A"/>
    <w:rsid w:val="009A2608"/>
    <w:rsid w:val="009A292E"/>
    <w:rsid w:val="009A2C5E"/>
    <w:rsid w:val="009A2C71"/>
    <w:rsid w:val="009A31DE"/>
    <w:rsid w:val="009A343B"/>
    <w:rsid w:val="009A3CD1"/>
    <w:rsid w:val="009A5301"/>
    <w:rsid w:val="009A55AA"/>
    <w:rsid w:val="009A6210"/>
    <w:rsid w:val="009A66C1"/>
    <w:rsid w:val="009A6D1A"/>
    <w:rsid w:val="009A7660"/>
    <w:rsid w:val="009A7C46"/>
    <w:rsid w:val="009B0184"/>
    <w:rsid w:val="009B0A3C"/>
    <w:rsid w:val="009B1183"/>
    <w:rsid w:val="009B1B4B"/>
    <w:rsid w:val="009B2023"/>
    <w:rsid w:val="009B2CCC"/>
    <w:rsid w:val="009B3668"/>
    <w:rsid w:val="009B4EB6"/>
    <w:rsid w:val="009B522F"/>
    <w:rsid w:val="009B5427"/>
    <w:rsid w:val="009B5DA3"/>
    <w:rsid w:val="009B62EC"/>
    <w:rsid w:val="009B647E"/>
    <w:rsid w:val="009B6DBA"/>
    <w:rsid w:val="009B70F7"/>
    <w:rsid w:val="009C0333"/>
    <w:rsid w:val="009C043C"/>
    <w:rsid w:val="009C080D"/>
    <w:rsid w:val="009C0BEE"/>
    <w:rsid w:val="009C1E17"/>
    <w:rsid w:val="009C25D5"/>
    <w:rsid w:val="009C269B"/>
    <w:rsid w:val="009C27FB"/>
    <w:rsid w:val="009C302F"/>
    <w:rsid w:val="009C37A8"/>
    <w:rsid w:val="009C53AF"/>
    <w:rsid w:val="009C6900"/>
    <w:rsid w:val="009C6F87"/>
    <w:rsid w:val="009C735F"/>
    <w:rsid w:val="009C790E"/>
    <w:rsid w:val="009C798B"/>
    <w:rsid w:val="009D1945"/>
    <w:rsid w:val="009D1A34"/>
    <w:rsid w:val="009D2C2E"/>
    <w:rsid w:val="009D300A"/>
    <w:rsid w:val="009D3AA6"/>
    <w:rsid w:val="009D5140"/>
    <w:rsid w:val="009D5DB7"/>
    <w:rsid w:val="009D5F69"/>
    <w:rsid w:val="009D64EF"/>
    <w:rsid w:val="009D7EF5"/>
    <w:rsid w:val="009E2161"/>
    <w:rsid w:val="009E504E"/>
    <w:rsid w:val="009E5292"/>
    <w:rsid w:val="009E55D9"/>
    <w:rsid w:val="009E6043"/>
    <w:rsid w:val="009E6493"/>
    <w:rsid w:val="009E66D9"/>
    <w:rsid w:val="009E6AD3"/>
    <w:rsid w:val="009E7A08"/>
    <w:rsid w:val="009F1C7C"/>
    <w:rsid w:val="009F2436"/>
    <w:rsid w:val="009F244E"/>
    <w:rsid w:val="009F2919"/>
    <w:rsid w:val="009F3BE8"/>
    <w:rsid w:val="009F3EA4"/>
    <w:rsid w:val="009F447A"/>
    <w:rsid w:val="009F4D9D"/>
    <w:rsid w:val="009F533C"/>
    <w:rsid w:val="009F5DAD"/>
    <w:rsid w:val="00A0002C"/>
    <w:rsid w:val="00A005B7"/>
    <w:rsid w:val="00A005D9"/>
    <w:rsid w:val="00A0075D"/>
    <w:rsid w:val="00A0083B"/>
    <w:rsid w:val="00A00D7F"/>
    <w:rsid w:val="00A00F2A"/>
    <w:rsid w:val="00A01491"/>
    <w:rsid w:val="00A01AD1"/>
    <w:rsid w:val="00A02061"/>
    <w:rsid w:val="00A0249E"/>
    <w:rsid w:val="00A04BA3"/>
    <w:rsid w:val="00A05186"/>
    <w:rsid w:val="00A05543"/>
    <w:rsid w:val="00A05CD2"/>
    <w:rsid w:val="00A1057D"/>
    <w:rsid w:val="00A10A89"/>
    <w:rsid w:val="00A12C5F"/>
    <w:rsid w:val="00A13054"/>
    <w:rsid w:val="00A1384A"/>
    <w:rsid w:val="00A146E4"/>
    <w:rsid w:val="00A15F74"/>
    <w:rsid w:val="00A1619C"/>
    <w:rsid w:val="00A16AC0"/>
    <w:rsid w:val="00A174D5"/>
    <w:rsid w:val="00A17795"/>
    <w:rsid w:val="00A17A44"/>
    <w:rsid w:val="00A20C6E"/>
    <w:rsid w:val="00A21A48"/>
    <w:rsid w:val="00A22A68"/>
    <w:rsid w:val="00A25C78"/>
    <w:rsid w:val="00A2622D"/>
    <w:rsid w:val="00A26615"/>
    <w:rsid w:val="00A274C1"/>
    <w:rsid w:val="00A308E0"/>
    <w:rsid w:val="00A30ABD"/>
    <w:rsid w:val="00A30B28"/>
    <w:rsid w:val="00A31262"/>
    <w:rsid w:val="00A31AEB"/>
    <w:rsid w:val="00A3227D"/>
    <w:rsid w:val="00A322ED"/>
    <w:rsid w:val="00A3423D"/>
    <w:rsid w:val="00A344CC"/>
    <w:rsid w:val="00A360A2"/>
    <w:rsid w:val="00A36C6E"/>
    <w:rsid w:val="00A374DA"/>
    <w:rsid w:val="00A379B6"/>
    <w:rsid w:val="00A37A95"/>
    <w:rsid w:val="00A40980"/>
    <w:rsid w:val="00A40BB4"/>
    <w:rsid w:val="00A415AA"/>
    <w:rsid w:val="00A41AC0"/>
    <w:rsid w:val="00A4345F"/>
    <w:rsid w:val="00A4387C"/>
    <w:rsid w:val="00A43A5E"/>
    <w:rsid w:val="00A4413C"/>
    <w:rsid w:val="00A44752"/>
    <w:rsid w:val="00A451A1"/>
    <w:rsid w:val="00A4619B"/>
    <w:rsid w:val="00A4627A"/>
    <w:rsid w:val="00A50723"/>
    <w:rsid w:val="00A514A3"/>
    <w:rsid w:val="00A524DB"/>
    <w:rsid w:val="00A52A73"/>
    <w:rsid w:val="00A533AF"/>
    <w:rsid w:val="00A53B65"/>
    <w:rsid w:val="00A55FC3"/>
    <w:rsid w:val="00A57013"/>
    <w:rsid w:val="00A57023"/>
    <w:rsid w:val="00A5716E"/>
    <w:rsid w:val="00A574C2"/>
    <w:rsid w:val="00A57554"/>
    <w:rsid w:val="00A57904"/>
    <w:rsid w:val="00A610E5"/>
    <w:rsid w:val="00A6192C"/>
    <w:rsid w:val="00A62C14"/>
    <w:rsid w:val="00A634C1"/>
    <w:rsid w:val="00A63B42"/>
    <w:rsid w:val="00A63FB7"/>
    <w:rsid w:val="00A6499D"/>
    <w:rsid w:val="00A64E1B"/>
    <w:rsid w:val="00A65D23"/>
    <w:rsid w:val="00A6629A"/>
    <w:rsid w:val="00A66E4B"/>
    <w:rsid w:val="00A6747A"/>
    <w:rsid w:val="00A71AE9"/>
    <w:rsid w:val="00A725F8"/>
    <w:rsid w:val="00A72CD7"/>
    <w:rsid w:val="00A74A9A"/>
    <w:rsid w:val="00A74F78"/>
    <w:rsid w:val="00A76913"/>
    <w:rsid w:val="00A76FB7"/>
    <w:rsid w:val="00A77C34"/>
    <w:rsid w:val="00A80C86"/>
    <w:rsid w:val="00A81254"/>
    <w:rsid w:val="00A81D47"/>
    <w:rsid w:val="00A8243D"/>
    <w:rsid w:val="00A82727"/>
    <w:rsid w:val="00A8603B"/>
    <w:rsid w:val="00A862DA"/>
    <w:rsid w:val="00A86498"/>
    <w:rsid w:val="00A86B12"/>
    <w:rsid w:val="00A872C3"/>
    <w:rsid w:val="00A87581"/>
    <w:rsid w:val="00A8783D"/>
    <w:rsid w:val="00A90EF5"/>
    <w:rsid w:val="00A913FC"/>
    <w:rsid w:val="00A91A88"/>
    <w:rsid w:val="00A91DBB"/>
    <w:rsid w:val="00A922E3"/>
    <w:rsid w:val="00A9256D"/>
    <w:rsid w:val="00A92626"/>
    <w:rsid w:val="00A94A0E"/>
    <w:rsid w:val="00A95AEF"/>
    <w:rsid w:val="00A95D3F"/>
    <w:rsid w:val="00A96B6A"/>
    <w:rsid w:val="00A973C2"/>
    <w:rsid w:val="00A97A52"/>
    <w:rsid w:val="00A97DF1"/>
    <w:rsid w:val="00AA2A76"/>
    <w:rsid w:val="00AA3A95"/>
    <w:rsid w:val="00AA3C19"/>
    <w:rsid w:val="00AA6182"/>
    <w:rsid w:val="00AA6AA1"/>
    <w:rsid w:val="00AA6BBD"/>
    <w:rsid w:val="00AA7937"/>
    <w:rsid w:val="00AB19C8"/>
    <w:rsid w:val="00AB1B63"/>
    <w:rsid w:val="00AB2DE5"/>
    <w:rsid w:val="00AB3345"/>
    <w:rsid w:val="00AB3720"/>
    <w:rsid w:val="00AB3983"/>
    <w:rsid w:val="00AB47D1"/>
    <w:rsid w:val="00AB5206"/>
    <w:rsid w:val="00AB6060"/>
    <w:rsid w:val="00AB771F"/>
    <w:rsid w:val="00AC08FE"/>
    <w:rsid w:val="00AC0CFE"/>
    <w:rsid w:val="00AC3BE6"/>
    <w:rsid w:val="00AC6346"/>
    <w:rsid w:val="00AC71CC"/>
    <w:rsid w:val="00AD0118"/>
    <w:rsid w:val="00AD0612"/>
    <w:rsid w:val="00AD254E"/>
    <w:rsid w:val="00AD2AB2"/>
    <w:rsid w:val="00AD303B"/>
    <w:rsid w:val="00AD325D"/>
    <w:rsid w:val="00AD3545"/>
    <w:rsid w:val="00AD3BA0"/>
    <w:rsid w:val="00AD4642"/>
    <w:rsid w:val="00AD602A"/>
    <w:rsid w:val="00AD62A2"/>
    <w:rsid w:val="00AE0FB7"/>
    <w:rsid w:val="00AE2231"/>
    <w:rsid w:val="00AE2477"/>
    <w:rsid w:val="00AE2CB9"/>
    <w:rsid w:val="00AE34D9"/>
    <w:rsid w:val="00AE373E"/>
    <w:rsid w:val="00AE4463"/>
    <w:rsid w:val="00AE5CB0"/>
    <w:rsid w:val="00AE5DC0"/>
    <w:rsid w:val="00AE7AE5"/>
    <w:rsid w:val="00AF0A57"/>
    <w:rsid w:val="00AF0FCC"/>
    <w:rsid w:val="00AF1B4D"/>
    <w:rsid w:val="00AF2056"/>
    <w:rsid w:val="00AF2827"/>
    <w:rsid w:val="00AF29D3"/>
    <w:rsid w:val="00AF3E88"/>
    <w:rsid w:val="00AF3FB3"/>
    <w:rsid w:val="00AF425A"/>
    <w:rsid w:val="00AF4ACE"/>
    <w:rsid w:val="00AF4F54"/>
    <w:rsid w:val="00AF4F62"/>
    <w:rsid w:val="00AF638F"/>
    <w:rsid w:val="00AF65EF"/>
    <w:rsid w:val="00AF663F"/>
    <w:rsid w:val="00AF72B9"/>
    <w:rsid w:val="00AF7E00"/>
    <w:rsid w:val="00B00AC5"/>
    <w:rsid w:val="00B00EA0"/>
    <w:rsid w:val="00B0135B"/>
    <w:rsid w:val="00B01556"/>
    <w:rsid w:val="00B0194C"/>
    <w:rsid w:val="00B02D17"/>
    <w:rsid w:val="00B0369A"/>
    <w:rsid w:val="00B03B1E"/>
    <w:rsid w:val="00B03B78"/>
    <w:rsid w:val="00B047F2"/>
    <w:rsid w:val="00B06489"/>
    <w:rsid w:val="00B0675F"/>
    <w:rsid w:val="00B069E6"/>
    <w:rsid w:val="00B06F26"/>
    <w:rsid w:val="00B07559"/>
    <w:rsid w:val="00B077BB"/>
    <w:rsid w:val="00B10004"/>
    <w:rsid w:val="00B12BF7"/>
    <w:rsid w:val="00B14232"/>
    <w:rsid w:val="00B144F0"/>
    <w:rsid w:val="00B1541F"/>
    <w:rsid w:val="00B1689D"/>
    <w:rsid w:val="00B17173"/>
    <w:rsid w:val="00B20470"/>
    <w:rsid w:val="00B20E7E"/>
    <w:rsid w:val="00B2140D"/>
    <w:rsid w:val="00B214B8"/>
    <w:rsid w:val="00B21DF8"/>
    <w:rsid w:val="00B22A39"/>
    <w:rsid w:val="00B24B02"/>
    <w:rsid w:val="00B24E75"/>
    <w:rsid w:val="00B25621"/>
    <w:rsid w:val="00B25E49"/>
    <w:rsid w:val="00B26A0C"/>
    <w:rsid w:val="00B3106A"/>
    <w:rsid w:val="00B33133"/>
    <w:rsid w:val="00B33A5B"/>
    <w:rsid w:val="00B35812"/>
    <w:rsid w:val="00B35AEF"/>
    <w:rsid w:val="00B36468"/>
    <w:rsid w:val="00B400CB"/>
    <w:rsid w:val="00B409B8"/>
    <w:rsid w:val="00B40B49"/>
    <w:rsid w:val="00B426AC"/>
    <w:rsid w:val="00B426F7"/>
    <w:rsid w:val="00B431D6"/>
    <w:rsid w:val="00B43233"/>
    <w:rsid w:val="00B43BD5"/>
    <w:rsid w:val="00B459C9"/>
    <w:rsid w:val="00B45E77"/>
    <w:rsid w:val="00B4601F"/>
    <w:rsid w:val="00B4677A"/>
    <w:rsid w:val="00B46A8E"/>
    <w:rsid w:val="00B46FF0"/>
    <w:rsid w:val="00B47136"/>
    <w:rsid w:val="00B50D66"/>
    <w:rsid w:val="00B5102B"/>
    <w:rsid w:val="00B512D7"/>
    <w:rsid w:val="00B52426"/>
    <w:rsid w:val="00B52C13"/>
    <w:rsid w:val="00B5375A"/>
    <w:rsid w:val="00B53EDB"/>
    <w:rsid w:val="00B54057"/>
    <w:rsid w:val="00B54059"/>
    <w:rsid w:val="00B568DC"/>
    <w:rsid w:val="00B5703C"/>
    <w:rsid w:val="00B57169"/>
    <w:rsid w:val="00B5743B"/>
    <w:rsid w:val="00B6090E"/>
    <w:rsid w:val="00B616A7"/>
    <w:rsid w:val="00B61800"/>
    <w:rsid w:val="00B624AA"/>
    <w:rsid w:val="00B62944"/>
    <w:rsid w:val="00B62B9E"/>
    <w:rsid w:val="00B64253"/>
    <w:rsid w:val="00B649DC"/>
    <w:rsid w:val="00B64FC7"/>
    <w:rsid w:val="00B65482"/>
    <w:rsid w:val="00B6592E"/>
    <w:rsid w:val="00B662B3"/>
    <w:rsid w:val="00B67030"/>
    <w:rsid w:val="00B6746B"/>
    <w:rsid w:val="00B6799B"/>
    <w:rsid w:val="00B720F7"/>
    <w:rsid w:val="00B7323F"/>
    <w:rsid w:val="00B73675"/>
    <w:rsid w:val="00B740E8"/>
    <w:rsid w:val="00B77F3D"/>
    <w:rsid w:val="00B80C7D"/>
    <w:rsid w:val="00B819C7"/>
    <w:rsid w:val="00B82532"/>
    <w:rsid w:val="00B83B68"/>
    <w:rsid w:val="00B845BD"/>
    <w:rsid w:val="00B84843"/>
    <w:rsid w:val="00B848C7"/>
    <w:rsid w:val="00B856C8"/>
    <w:rsid w:val="00B863AF"/>
    <w:rsid w:val="00B865B1"/>
    <w:rsid w:val="00B866F0"/>
    <w:rsid w:val="00B8721A"/>
    <w:rsid w:val="00B87FC5"/>
    <w:rsid w:val="00B90465"/>
    <w:rsid w:val="00B9088B"/>
    <w:rsid w:val="00B91388"/>
    <w:rsid w:val="00B9212C"/>
    <w:rsid w:val="00B93727"/>
    <w:rsid w:val="00B937F0"/>
    <w:rsid w:val="00B93834"/>
    <w:rsid w:val="00B93A30"/>
    <w:rsid w:val="00B93CB0"/>
    <w:rsid w:val="00B941AE"/>
    <w:rsid w:val="00B9428C"/>
    <w:rsid w:val="00B9453F"/>
    <w:rsid w:val="00B954BE"/>
    <w:rsid w:val="00B95B9E"/>
    <w:rsid w:val="00B95EE1"/>
    <w:rsid w:val="00B97967"/>
    <w:rsid w:val="00B97C08"/>
    <w:rsid w:val="00BA0710"/>
    <w:rsid w:val="00BA1B1E"/>
    <w:rsid w:val="00BA1D36"/>
    <w:rsid w:val="00BA1F05"/>
    <w:rsid w:val="00BA30BE"/>
    <w:rsid w:val="00BA3B5C"/>
    <w:rsid w:val="00BA48DC"/>
    <w:rsid w:val="00BA6953"/>
    <w:rsid w:val="00BA7EBE"/>
    <w:rsid w:val="00BB0351"/>
    <w:rsid w:val="00BB03AB"/>
    <w:rsid w:val="00BB0F9A"/>
    <w:rsid w:val="00BB3BE6"/>
    <w:rsid w:val="00BB4406"/>
    <w:rsid w:val="00BB6177"/>
    <w:rsid w:val="00BB61A8"/>
    <w:rsid w:val="00BB63AB"/>
    <w:rsid w:val="00BC152C"/>
    <w:rsid w:val="00BC2518"/>
    <w:rsid w:val="00BC36D3"/>
    <w:rsid w:val="00BC3724"/>
    <w:rsid w:val="00BC3DAE"/>
    <w:rsid w:val="00BC3EC8"/>
    <w:rsid w:val="00BC4409"/>
    <w:rsid w:val="00BC46C3"/>
    <w:rsid w:val="00BC617E"/>
    <w:rsid w:val="00BC7058"/>
    <w:rsid w:val="00BC7450"/>
    <w:rsid w:val="00BC791F"/>
    <w:rsid w:val="00BD30B2"/>
    <w:rsid w:val="00BD388C"/>
    <w:rsid w:val="00BD3F77"/>
    <w:rsid w:val="00BD49F6"/>
    <w:rsid w:val="00BD4D78"/>
    <w:rsid w:val="00BD57F0"/>
    <w:rsid w:val="00BD62AE"/>
    <w:rsid w:val="00BE04ED"/>
    <w:rsid w:val="00BE10F8"/>
    <w:rsid w:val="00BE200D"/>
    <w:rsid w:val="00BE21CB"/>
    <w:rsid w:val="00BE3F7A"/>
    <w:rsid w:val="00BE54DA"/>
    <w:rsid w:val="00BE6F38"/>
    <w:rsid w:val="00BF1A5C"/>
    <w:rsid w:val="00BF1F95"/>
    <w:rsid w:val="00BF24DB"/>
    <w:rsid w:val="00BF3201"/>
    <w:rsid w:val="00BF4E2C"/>
    <w:rsid w:val="00BF51D8"/>
    <w:rsid w:val="00BF542A"/>
    <w:rsid w:val="00BF5B39"/>
    <w:rsid w:val="00BF621C"/>
    <w:rsid w:val="00BF6ED2"/>
    <w:rsid w:val="00C00035"/>
    <w:rsid w:val="00C00A36"/>
    <w:rsid w:val="00C0130C"/>
    <w:rsid w:val="00C01EC3"/>
    <w:rsid w:val="00C02972"/>
    <w:rsid w:val="00C03B58"/>
    <w:rsid w:val="00C045BA"/>
    <w:rsid w:val="00C0645C"/>
    <w:rsid w:val="00C0653B"/>
    <w:rsid w:val="00C0727B"/>
    <w:rsid w:val="00C10DF3"/>
    <w:rsid w:val="00C1187D"/>
    <w:rsid w:val="00C11917"/>
    <w:rsid w:val="00C11D33"/>
    <w:rsid w:val="00C1261B"/>
    <w:rsid w:val="00C12C6E"/>
    <w:rsid w:val="00C13BC1"/>
    <w:rsid w:val="00C14282"/>
    <w:rsid w:val="00C14CA8"/>
    <w:rsid w:val="00C14F59"/>
    <w:rsid w:val="00C15D78"/>
    <w:rsid w:val="00C16522"/>
    <w:rsid w:val="00C16BB6"/>
    <w:rsid w:val="00C202AE"/>
    <w:rsid w:val="00C209B4"/>
    <w:rsid w:val="00C212BE"/>
    <w:rsid w:val="00C219BF"/>
    <w:rsid w:val="00C227F6"/>
    <w:rsid w:val="00C22924"/>
    <w:rsid w:val="00C257ED"/>
    <w:rsid w:val="00C26A41"/>
    <w:rsid w:val="00C273DC"/>
    <w:rsid w:val="00C3070B"/>
    <w:rsid w:val="00C31911"/>
    <w:rsid w:val="00C31D10"/>
    <w:rsid w:val="00C31D23"/>
    <w:rsid w:val="00C34281"/>
    <w:rsid w:val="00C3476C"/>
    <w:rsid w:val="00C354A8"/>
    <w:rsid w:val="00C36406"/>
    <w:rsid w:val="00C36E95"/>
    <w:rsid w:val="00C37E79"/>
    <w:rsid w:val="00C40069"/>
    <w:rsid w:val="00C40BA2"/>
    <w:rsid w:val="00C425F6"/>
    <w:rsid w:val="00C46100"/>
    <w:rsid w:val="00C47FA4"/>
    <w:rsid w:val="00C507EB"/>
    <w:rsid w:val="00C5186D"/>
    <w:rsid w:val="00C52EB9"/>
    <w:rsid w:val="00C531B0"/>
    <w:rsid w:val="00C534F3"/>
    <w:rsid w:val="00C53F5A"/>
    <w:rsid w:val="00C53F72"/>
    <w:rsid w:val="00C54C3F"/>
    <w:rsid w:val="00C54CE7"/>
    <w:rsid w:val="00C555FD"/>
    <w:rsid w:val="00C557A8"/>
    <w:rsid w:val="00C55B80"/>
    <w:rsid w:val="00C56150"/>
    <w:rsid w:val="00C56E19"/>
    <w:rsid w:val="00C579E8"/>
    <w:rsid w:val="00C57C6A"/>
    <w:rsid w:val="00C60FE4"/>
    <w:rsid w:val="00C61F2F"/>
    <w:rsid w:val="00C63D1E"/>
    <w:rsid w:val="00C64C41"/>
    <w:rsid w:val="00C65397"/>
    <w:rsid w:val="00C65443"/>
    <w:rsid w:val="00C66265"/>
    <w:rsid w:val="00C670D5"/>
    <w:rsid w:val="00C6795A"/>
    <w:rsid w:val="00C706FF"/>
    <w:rsid w:val="00C716C7"/>
    <w:rsid w:val="00C719E0"/>
    <w:rsid w:val="00C71BD5"/>
    <w:rsid w:val="00C729AE"/>
    <w:rsid w:val="00C7339E"/>
    <w:rsid w:val="00C75C95"/>
    <w:rsid w:val="00C77F25"/>
    <w:rsid w:val="00C8083B"/>
    <w:rsid w:val="00C8255F"/>
    <w:rsid w:val="00C8273D"/>
    <w:rsid w:val="00C82BC2"/>
    <w:rsid w:val="00C8377C"/>
    <w:rsid w:val="00C83E0F"/>
    <w:rsid w:val="00C86FD5"/>
    <w:rsid w:val="00C8741F"/>
    <w:rsid w:val="00C87475"/>
    <w:rsid w:val="00C900C5"/>
    <w:rsid w:val="00C90BCE"/>
    <w:rsid w:val="00C90DFA"/>
    <w:rsid w:val="00C914F6"/>
    <w:rsid w:val="00C952C9"/>
    <w:rsid w:val="00C968D5"/>
    <w:rsid w:val="00C9708C"/>
    <w:rsid w:val="00C97780"/>
    <w:rsid w:val="00C97960"/>
    <w:rsid w:val="00C97F1A"/>
    <w:rsid w:val="00CA0976"/>
    <w:rsid w:val="00CA0DE2"/>
    <w:rsid w:val="00CA1CAA"/>
    <w:rsid w:val="00CA305E"/>
    <w:rsid w:val="00CA30DE"/>
    <w:rsid w:val="00CA342D"/>
    <w:rsid w:val="00CA3CFA"/>
    <w:rsid w:val="00CA3FE9"/>
    <w:rsid w:val="00CA46C0"/>
    <w:rsid w:val="00CA4FC0"/>
    <w:rsid w:val="00CA5159"/>
    <w:rsid w:val="00CA559B"/>
    <w:rsid w:val="00CA55A1"/>
    <w:rsid w:val="00CB075B"/>
    <w:rsid w:val="00CB0826"/>
    <w:rsid w:val="00CB1130"/>
    <w:rsid w:val="00CB1F20"/>
    <w:rsid w:val="00CB33CB"/>
    <w:rsid w:val="00CB417F"/>
    <w:rsid w:val="00CB660F"/>
    <w:rsid w:val="00CB6DFE"/>
    <w:rsid w:val="00CC021C"/>
    <w:rsid w:val="00CC06A6"/>
    <w:rsid w:val="00CC0B4D"/>
    <w:rsid w:val="00CC4A3B"/>
    <w:rsid w:val="00CC51AA"/>
    <w:rsid w:val="00CC6B3A"/>
    <w:rsid w:val="00CC70C9"/>
    <w:rsid w:val="00CC74EC"/>
    <w:rsid w:val="00CD0429"/>
    <w:rsid w:val="00CD18D2"/>
    <w:rsid w:val="00CD2831"/>
    <w:rsid w:val="00CD3AF6"/>
    <w:rsid w:val="00CD3BD7"/>
    <w:rsid w:val="00CD4168"/>
    <w:rsid w:val="00CD44CE"/>
    <w:rsid w:val="00CD5869"/>
    <w:rsid w:val="00CD7A6F"/>
    <w:rsid w:val="00CE081E"/>
    <w:rsid w:val="00CE2026"/>
    <w:rsid w:val="00CE471F"/>
    <w:rsid w:val="00CE5871"/>
    <w:rsid w:val="00CE66B1"/>
    <w:rsid w:val="00CE7415"/>
    <w:rsid w:val="00CF097A"/>
    <w:rsid w:val="00CF1FDB"/>
    <w:rsid w:val="00CF3816"/>
    <w:rsid w:val="00CF557C"/>
    <w:rsid w:val="00CF6752"/>
    <w:rsid w:val="00CF6E99"/>
    <w:rsid w:val="00CF7099"/>
    <w:rsid w:val="00CF7E60"/>
    <w:rsid w:val="00D021F4"/>
    <w:rsid w:val="00D02A1A"/>
    <w:rsid w:val="00D04791"/>
    <w:rsid w:val="00D06B2C"/>
    <w:rsid w:val="00D07474"/>
    <w:rsid w:val="00D07A27"/>
    <w:rsid w:val="00D103E9"/>
    <w:rsid w:val="00D10D38"/>
    <w:rsid w:val="00D10F68"/>
    <w:rsid w:val="00D11A29"/>
    <w:rsid w:val="00D11AA4"/>
    <w:rsid w:val="00D11B79"/>
    <w:rsid w:val="00D12295"/>
    <w:rsid w:val="00D12592"/>
    <w:rsid w:val="00D13617"/>
    <w:rsid w:val="00D1437C"/>
    <w:rsid w:val="00D1533F"/>
    <w:rsid w:val="00D158EB"/>
    <w:rsid w:val="00D15B78"/>
    <w:rsid w:val="00D161A1"/>
    <w:rsid w:val="00D16730"/>
    <w:rsid w:val="00D173BE"/>
    <w:rsid w:val="00D17411"/>
    <w:rsid w:val="00D1750D"/>
    <w:rsid w:val="00D17B4F"/>
    <w:rsid w:val="00D2065E"/>
    <w:rsid w:val="00D21498"/>
    <w:rsid w:val="00D214FB"/>
    <w:rsid w:val="00D21A14"/>
    <w:rsid w:val="00D21DE3"/>
    <w:rsid w:val="00D22433"/>
    <w:rsid w:val="00D230EC"/>
    <w:rsid w:val="00D24714"/>
    <w:rsid w:val="00D24738"/>
    <w:rsid w:val="00D2481E"/>
    <w:rsid w:val="00D24A30"/>
    <w:rsid w:val="00D24A6F"/>
    <w:rsid w:val="00D259EB"/>
    <w:rsid w:val="00D25F34"/>
    <w:rsid w:val="00D26388"/>
    <w:rsid w:val="00D27150"/>
    <w:rsid w:val="00D27B78"/>
    <w:rsid w:val="00D27E5D"/>
    <w:rsid w:val="00D27FA8"/>
    <w:rsid w:val="00D30FB2"/>
    <w:rsid w:val="00D313EC"/>
    <w:rsid w:val="00D3245E"/>
    <w:rsid w:val="00D33219"/>
    <w:rsid w:val="00D336A5"/>
    <w:rsid w:val="00D34E8D"/>
    <w:rsid w:val="00D3515E"/>
    <w:rsid w:val="00D35378"/>
    <w:rsid w:val="00D35ADA"/>
    <w:rsid w:val="00D35EAD"/>
    <w:rsid w:val="00D36E2A"/>
    <w:rsid w:val="00D3730C"/>
    <w:rsid w:val="00D4026F"/>
    <w:rsid w:val="00D41069"/>
    <w:rsid w:val="00D4254C"/>
    <w:rsid w:val="00D4259C"/>
    <w:rsid w:val="00D42C3B"/>
    <w:rsid w:val="00D42EA6"/>
    <w:rsid w:val="00D44333"/>
    <w:rsid w:val="00D44F27"/>
    <w:rsid w:val="00D46E30"/>
    <w:rsid w:val="00D50142"/>
    <w:rsid w:val="00D50C60"/>
    <w:rsid w:val="00D50DF8"/>
    <w:rsid w:val="00D5135A"/>
    <w:rsid w:val="00D513FB"/>
    <w:rsid w:val="00D51B74"/>
    <w:rsid w:val="00D51E78"/>
    <w:rsid w:val="00D52528"/>
    <w:rsid w:val="00D5304C"/>
    <w:rsid w:val="00D537AB"/>
    <w:rsid w:val="00D54646"/>
    <w:rsid w:val="00D54BD8"/>
    <w:rsid w:val="00D56E24"/>
    <w:rsid w:val="00D57863"/>
    <w:rsid w:val="00D60594"/>
    <w:rsid w:val="00D60A92"/>
    <w:rsid w:val="00D611BB"/>
    <w:rsid w:val="00D61427"/>
    <w:rsid w:val="00D62F71"/>
    <w:rsid w:val="00D6465D"/>
    <w:rsid w:val="00D64735"/>
    <w:rsid w:val="00D64879"/>
    <w:rsid w:val="00D64B69"/>
    <w:rsid w:val="00D656DB"/>
    <w:rsid w:val="00D65AE6"/>
    <w:rsid w:val="00D65CD4"/>
    <w:rsid w:val="00D667FD"/>
    <w:rsid w:val="00D674FA"/>
    <w:rsid w:val="00D7031A"/>
    <w:rsid w:val="00D70AFF"/>
    <w:rsid w:val="00D70EAA"/>
    <w:rsid w:val="00D718D6"/>
    <w:rsid w:val="00D71C5C"/>
    <w:rsid w:val="00D71F47"/>
    <w:rsid w:val="00D72618"/>
    <w:rsid w:val="00D73573"/>
    <w:rsid w:val="00D73AD7"/>
    <w:rsid w:val="00D73DDA"/>
    <w:rsid w:val="00D740E4"/>
    <w:rsid w:val="00D7428D"/>
    <w:rsid w:val="00D74955"/>
    <w:rsid w:val="00D75DB5"/>
    <w:rsid w:val="00D76F26"/>
    <w:rsid w:val="00D801C6"/>
    <w:rsid w:val="00D80D71"/>
    <w:rsid w:val="00D81AE5"/>
    <w:rsid w:val="00D8295D"/>
    <w:rsid w:val="00D83994"/>
    <w:rsid w:val="00D83F06"/>
    <w:rsid w:val="00D83F56"/>
    <w:rsid w:val="00D8406B"/>
    <w:rsid w:val="00D854C0"/>
    <w:rsid w:val="00D859CA"/>
    <w:rsid w:val="00D85C72"/>
    <w:rsid w:val="00D85FA3"/>
    <w:rsid w:val="00D86011"/>
    <w:rsid w:val="00D86878"/>
    <w:rsid w:val="00D86F1C"/>
    <w:rsid w:val="00D87978"/>
    <w:rsid w:val="00D90668"/>
    <w:rsid w:val="00D90A6B"/>
    <w:rsid w:val="00D911DA"/>
    <w:rsid w:val="00D91394"/>
    <w:rsid w:val="00D9208B"/>
    <w:rsid w:val="00D92343"/>
    <w:rsid w:val="00D92E85"/>
    <w:rsid w:val="00D9367C"/>
    <w:rsid w:val="00D944E0"/>
    <w:rsid w:val="00D94F91"/>
    <w:rsid w:val="00D950DB"/>
    <w:rsid w:val="00D95195"/>
    <w:rsid w:val="00D95DE0"/>
    <w:rsid w:val="00D9671A"/>
    <w:rsid w:val="00D973A5"/>
    <w:rsid w:val="00D97E61"/>
    <w:rsid w:val="00DA010C"/>
    <w:rsid w:val="00DA038C"/>
    <w:rsid w:val="00DA0DD9"/>
    <w:rsid w:val="00DA2520"/>
    <w:rsid w:val="00DA2DF5"/>
    <w:rsid w:val="00DA3F38"/>
    <w:rsid w:val="00DA4318"/>
    <w:rsid w:val="00DA4513"/>
    <w:rsid w:val="00DA68CA"/>
    <w:rsid w:val="00DA6C8A"/>
    <w:rsid w:val="00DA702E"/>
    <w:rsid w:val="00DA728B"/>
    <w:rsid w:val="00DA795C"/>
    <w:rsid w:val="00DB037A"/>
    <w:rsid w:val="00DB1544"/>
    <w:rsid w:val="00DB1D33"/>
    <w:rsid w:val="00DB344C"/>
    <w:rsid w:val="00DB3C0B"/>
    <w:rsid w:val="00DB4933"/>
    <w:rsid w:val="00DB500D"/>
    <w:rsid w:val="00DB50A7"/>
    <w:rsid w:val="00DB5A0B"/>
    <w:rsid w:val="00DB6407"/>
    <w:rsid w:val="00DB6B4C"/>
    <w:rsid w:val="00DB7081"/>
    <w:rsid w:val="00DB715D"/>
    <w:rsid w:val="00DB78F7"/>
    <w:rsid w:val="00DB7A03"/>
    <w:rsid w:val="00DB7DE1"/>
    <w:rsid w:val="00DC064C"/>
    <w:rsid w:val="00DC06EC"/>
    <w:rsid w:val="00DC0E1B"/>
    <w:rsid w:val="00DC1827"/>
    <w:rsid w:val="00DC20B4"/>
    <w:rsid w:val="00DC2856"/>
    <w:rsid w:val="00DC2A2F"/>
    <w:rsid w:val="00DC4516"/>
    <w:rsid w:val="00DC73E1"/>
    <w:rsid w:val="00DC73F6"/>
    <w:rsid w:val="00DC7672"/>
    <w:rsid w:val="00DC797C"/>
    <w:rsid w:val="00DC7C0B"/>
    <w:rsid w:val="00DC7CCA"/>
    <w:rsid w:val="00DD085B"/>
    <w:rsid w:val="00DD33E4"/>
    <w:rsid w:val="00DD37CA"/>
    <w:rsid w:val="00DD39FD"/>
    <w:rsid w:val="00DD3C80"/>
    <w:rsid w:val="00DD59FB"/>
    <w:rsid w:val="00DD6466"/>
    <w:rsid w:val="00DE1041"/>
    <w:rsid w:val="00DE12C8"/>
    <w:rsid w:val="00DE15B9"/>
    <w:rsid w:val="00DE2B42"/>
    <w:rsid w:val="00DE4E65"/>
    <w:rsid w:val="00DE5056"/>
    <w:rsid w:val="00DE633F"/>
    <w:rsid w:val="00DE657F"/>
    <w:rsid w:val="00DE6B5C"/>
    <w:rsid w:val="00DE765A"/>
    <w:rsid w:val="00DF016D"/>
    <w:rsid w:val="00DF03A5"/>
    <w:rsid w:val="00DF0930"/>
    <w:rsid w:val="00DF0A75"/>
    <w:rsid w:val="00DF0DE9"/>
    <w:rsid w:val="00DF0F11"/>
    <w:rsid w:val="00DF1537"/>
    <w:rsid w:val="00DF1AC6"/>
    <w:rsid w:val="00DF2770"/>
    <w:rsid w:val="00DF4253"/>
    <w:rsid w:val="00DF44B2"/>
    <w:rsid w:val="00DF4FAC"/>
    <w:rsid w:val="00DF51E2"/>
    <w:rsid w:val="00DF54A5"/>
    <w:rsid w:val="00DF6ED1"/>
    <w:rsid w:val="00DF6F56"/>
    <w:rsid w:val="00E0009E"/>
    <w:rsid w:val="00E003E6"/>
    <w:rsid w:val="00E00C95"/>
    <w:rsid w:val="00E01603"/>
    <w:rsid w:val="00E01F69"/>
    <w:rsid w:val="00E0269A"/>
    <w:rsid w:val="00E02B8D"/>
    <w:rsid w:val="00E03DA2"/>
    <w:rsid w:val="00E05B03"/>
    <w:rsid w:val="00E0608A"/>
    <w:rsid w:val="00E066E5"/>
    <w:rsid w:val="00E068B5"/>
    <w:rsid w:val="00E06A27"/>
    <w:rsid w:val="00E06B6E"/>
    <w:rsid w:val="00E07702"/>
    <w:rsid w:val="00E078DC"/>
    <w:rsid w:val="00E101B3"/>
    <w:rsid w:val="00E10A7C"/>
    <w:rsid w:val="00E10F38"/>
    <w:rsid w:val="00E14504"/>
    <w:rsid w:val="00E14954"/>
    <w:rsid w:val="00E1607A"/>
    <w:rsid w:val="00E1744B"/>
    <w:rsid w:val="00E20493"/>
    <w:rsid w:val="00E20B6E"/>
    <w:rsid w:val="00E21118"/>
    <w:rsid w:val="00E21FF9"/>
    <w:rsid w:val="00E253DE"/>
    <w:rsid w:val="00E2560D"/>
    <w:rsid w:val="00E26833"/>
    <w:rsid w:val="00E275E4"/>
    <w:rsid w:val="00E279C3"/>
    <w:rsid w:val="00E27B54"/>
    <w:rsid w:val="00E27C91"/>
    <w:rsid w:val="00E302DA"/>
    <w:rsid w:val="00E304B1"/>
    <w:rsid w:val="00E319D0"/>
    <w:rsid w:val="00E32101"/>
    <w:rsid w:val="00E3380F"/>
    <w:rsid w:val="00E34362"/>
    <w:rsid w:val="00E3558F"/>
    <w:rsid w:val="00E356FD"/>
    <w:rsid w:val="00E362EC"/>
    <w:rsid w:val="00E36C9C"/>
    <w:rsid w:val="00E36ED4"/>
    <w:rsid w:val="00E40F38"/>
    <w:rsid w:val="00E41305"/>
    <w:rsid w:val="00E41559"/>
    <w:rsid w:val="00E4201E"/>
    <w:rsid w:val="00E42991"/>
    <w:rsid w:val="00E433DC"/>
    <w:rsid w:val="00E44F20"/>
    <w:rsid w:val="00E45126"/>
    <w:rsid w:val="00E45227"/>
    <w:rsid w:val="00E4584A"/>
    <w:rsid w:val="00E46A2C"/>
    <w:rsid w:val="00E50206"/>
    <w:rsid w:val="00E50C80"/>
    <w:rsid w:val="00E50F7F"/>
    <w:rsid w:val="00E52591"/>
    <w:rsid w:val="00E5426D"/>
    <w:rsid w:val="00E54559"/>
    <w:rsid w:val="00E54969"/>
    <w:rsid w:val="00E54AD9"/>
    <w:rsid w:val="00E557F6"/>
    <w:rsid w:val="00E5605A"/>
    <w:rsid w:val="00E568F4"/>
    <w:rsid w:val="00E579A8"/>
    <w:rsid w:val="00E57A31"/>
    <w:rsid w:val="00E60A66"/>
    <w:rsid w:val="00E60BFD"/>
    <w:rsid w:val="00E60D98"/>
    <w:rsid w:val="00E6225C"/>
    <w:rsid w:val="00E62283"/>
    <w:rsid w:val="00E627C4"/>
    <w:rsid w:val="00E62D67"/>
    <w:rsid w:val="00E633D8"/>
    <w:rsid w:val="00E6370D"/>
    <w:rsid w:val="00E64A0C"/>
    <w:rsid w:val="00E6515F"/>
    <w:rsid w:val="00E6517E"/>
    <w:rsid w:val="00E65403"/>
    <w:rsid w:val="00E65721"/>
    <w:rsid w:val="00E66073"/>
    <w:rsid w:val="00E6771D"/>
    <w:rsid w:val="00E7133D"/>
    <w:rsid w:val="00E7268E"/>
    <w:rsid w:val="00E72D5D"/>
    <w:rsid w:val="00E745ED"/>
    <w:rsid w:val="00E75478"/>
    <w:rsid w:val="00E7719A"/>
    <w:rsid w:val="00E7741D"/>
    <w:rsid w:val="00E800C9"/>
    <w:rsid w:val="00E80AA9"/>
    <w:rsid w:val="00E80AD3"/>
    <w:rsid w:val="00E81C14"/>
    <w:rsid w:val="00E82955"/>
    <w:rsid w:val="00E82A7A"/>
    <w:rsid w:val="00E8571F"/>
    <w:rsid w:val="00E85B6B"/>
    <w:rsid w:val="00E87081"/>
    <w:rsid w:val="00E90AB4"/>
    <w:rsid w:val="00E90F64"/>
    <w:rsid w:val="00E917E1"/>
    <w:rsid w:val="00E91A23"/>
    <w:rsid w:val="00E92A82"/>
    <w:rsid w:val="00E92D3E"/>
    <w:rsid w:val="00E930BA"/>
    <w:rsid w:val="00E94F1B"/>
    <w:rsid w:val="00E953CD"/>
    <w:rsid w:val="00E96DC5"/>
    <w:rsid w:val="00E96E52"/>
    <w:rsid w:val="00E97282"/>
    <w:rsid w:val="00E9758F"/>
    <w:rsid w:val="00E97B1E"/>
    <w:rsid w:val="00EA005A"/>
    <w:rsid w:val="00EA0ECA"/>
    <w:rsid w:val="00EA0EE7"/>
    <w:rsid w:val="00EA19A9"/>
    <w:rsid w:val="00EA400B"/>
    <w:rsid w:val="00EA5269"/>
    <w:rsid w:val="00EA5631"/>
    <w:rsid w:val="00EA5D5D"/>
    <w:rsid w:val="00EA5F3E"/>
    <w:rsid w:val="00EA6114"/>
    <w:rsid w:val="00EA6786"/>
    <w:rsid w:val="00EA72CE"/>
    <w:rsid w:val="00EA7F9A"/>
    <w:rsid w:val="00EB0496"/>
    <w:rsid w:val="00EB05A2"/>
    <w:rsid w:val="00EB1F30"/>
    <w:rsid w:val="00EB2B76"/>
    <w:rsid w:val="00EB3082"/>
    <w:rsid w:val="00EB3AF3"/>
    <w:rsid w:val="00EB40F6"/>
    <w:rsid w:val="00EB4C6F"/>
    <w:rsid w:val="00EB4DA9"/>
    <w:rsid w:val="00EB6722"/>
    <w:rsid w:val="00EB74AC"/>
    <w:rsid w:val="00EB751B"/>
    <w:rsid w:val="00EC0EAD"/>
    <w:rsid w:val="00EC14CB"/>
    <w:rsid w:val="00EC229B"/>
    <w:rsid w:val="00EC2A1F"/>
    <w:rsid w:val="00EC2E71"/>
    <w:rsid w:val="00EC6F9F"/>
    <w:rsid w:val="00EC71A2"/>
    <w:rsid w:val="00ED0732"/>
    <w:rsid w:val="00ED083E"/>
    <w:rsid w:val="00ED1685"/>
    <w:rsid w:val="00ED19BA"/>
    <w:rsid w:val="00ED29C0"/>
    <w:rsid w:val="00ED3FB3"/>
    <w:rsid w:val="00ED4556"/>
    <w:rsid w:val="00ED5837"/>
    <w:rsid w:val="00ED5C69"/>
    <w:rsid w:val="00ED7159"/>
    <w:rsid w:val="00ED7B8B"/>
    <w:rsid w:val="00EE1280"/>
    <w:rsid w:val="00EE14DA"/>
    <w:rsid w:val="00EE1ACF"/>
    <w:rsid w:val="00EE40DD"/>
    <w:rsid w:val="00EE4CEB"/>
    <w:rsid w:val="00EE5466"/>
    <w:rsid w:val="00EE6B28"/>
    <w:rsid w:val="00EE7698"/>
    <w:rsid w:val="00EE7D00"/>
    <w:rsid w:val="00EF0701"/>
    <w:rsid w:val="00EF0CA7"/>
    <w:rsid w:val="00EF142F"/>
    <w:rsid w:val="00EF14EF"/>
    <w:rsid w:val="00EF3101"/>
    <w:rsid w:val="00EF317C"/>
    <w:rsid w:val="00EF4B99"/>
    <w:rsid w:val="00EF4C07"/>
    <w:rsid w:val="00EF4ED0"/>
    <w:rsid w:val="00EF5C67"/>
    <w:rsid w:val="00EF6283"/>
    <w:rsid w:val="00EF70CD"/>
    <w:rsid w:val="00EF794B"/>
    <w:rsid w:val="00EF7DB5"/>
    <w:rsid w:val="00F00158"/>
    <w:rsid w:val="00F008B9"/>
    <w:rsid w:val="00F00ED4"/>
    <w:rsid w:val="00F0137D"/>
    <w:rsid w:val="00F03504"/>
    <w:rsid w:val="00F03582"/>
    <w:rsid w:val="00F0366A"/>
    <w:rsid w:val="00F03BD0"/>
    <w:rsid w:val="00F04552"/>
    <w:rsid w:val="00F04861"/>
    <w:rsid w:val="00F04EA4"/>
    <w:rsid w:val="00F051A6"/>
    <w:rsid w:val="00F05A88"/>
    <w:rsid w:val="00F0647F"/>
    <w:rsid w:val="00F06EF2"/>
    <w:rsid w:val="00F06F07"/>
    <w:rsid w:val="00F07DC9"/>
    <w:rsid w:val="00F10D2A"/>
    <w:rsid w:val="00F11C32"/>
    <w:rsid w:val="00F1286B"/>
    <w:rsid w:val="00F12E8B"/>
    <w:rsid w:val="00F13AEC"/>
    <w:rsid w:val="00F14C1B"/>
    <w:rsid w:val="00F15288"/>
    <w:rsid w:val="00F15993"/>
    <w:rsid w:val="00F16A9A"/>
    <w:rsid w:val="00F16DA4"/>
    <w:rsid w:val="00F16E12"/>
    <w:rsid w:val="00F17CC0"/>
    <w:rsid w:val="00F17EEB"/>
    <w:rsid w:val="00F2143B"/>
    <w:rsid w:val="00F21CEF"/>
    <w:rsid w:val="00F2203C"/>
    <w:rsid w:val="00F22E11"/>
    <w:rsid w:val="00F23378"/>
    <w:rsid w:val="00F24C3A"/>
    <w:rsid w:val="00F24F98"/>
    <w:rsid w:val="00F25713"/>
    <w:rsid w:val="00F27299"/>
    <w:rsid w:val="00F279B9"/>
    <w:rsid w:val="00F30711"/>
    <w:rsid w:val="00F31CB8"/>
    <w:rsid w:val="00F32712"/>
    <w:rsid w:val="00F33D9D"/>
    <w:rsid w:val="00F33DCE"/>
    <w:rsid w:val="00F351C3"/>
    <w:rsid w:val="00F35950"/>
    <w:rsid w:val="00F364B0"/>
    <w:rsid w:val="00F377F3"/>
    <w:rsid w:val="00F379E1"/>
    <w:rsid w:val="00F4003D"/>
    <w:rsid w:val="00F4065E"/>
    <w:rsid w:val="00F40CFF"/>
    <w:rsid w:val="00F418EE"/>
    <w:rsid w:val="00F41D1D"/>
    <w:rsid w:val="00F420B8"/>
    <w:rsid w:val="00F42646"/>
    <w:rsid w:val="00F42C41"/>
    <w:rsid w:val="00F44637"/>
    <w:rsid w:val="00F4480A"/>
    <w:rsid w:val="00F454B0"/>
    <w:rsid w:val="00F45713"/>
    <w:rsid w:val="00F45CB2"/>
    <w:rsid w:val="00F463ED"/>
    <w:rsid w:val="00F46420"/>
    <w:rsid w:val="00F46726"/>
    <w:rsid w:val="00F46FD7"/>
    <w:rsid w:val="00F51963"/>
    <w:rsid w:val="00F520F4"/>
    <w:rsid w:val="00F53F76"/>
    <w:rsid w:val="00F54843"/>
    <w:rsid w:val="00F54BCA"/>
    <w:rsid w:val="00F561E8"/>
    <w:rsid w:val="00F565D2"/>
    <w:rsid w:val="00F569AD"/>
    <w:rsid w:val="00F56C1F"/>
    <w:rsid w:val="00F57D64"/>
    <w:rsid w:val="00F60D76"/>
    <w:rsid w:val="00F613A7"/>
    <w:rsid w:val="00F61E31"/>
    <w:rsid w:val="00F63E61"/>
    <w:rsid w:val="00F64264"/>
    <w:rsid w:val="00F6625D"/>
    <w:rsid w:val="00F66FB2"/>
    <w:rsid w:val="00F71B86"/>
    <w:rsid w:val="00F71C68"/>
    <w:rsid w:val="00F73FBF"/>
    <w:rsid w:val="00F7552F"/>
    <w:rsid w:val="00F7585A"/>
    <w:rsid w:val="00F75EC5"/>
    <w:rsid w:val="00F760C1"/>
    <w:rsid w:val="00F76856"/>
    <w:rsid w:val="00F76F95"/>
    <w:rsid w:val="00F77D0F"/>
    <w:rsid w:val="00F8149A"/>
    <w:rsid w:val="00F83744"/>
    <w:rsid w:val="00F85716"/>
    <w:rsid w:val="00F857B7"/>
    <w:rsid w:val="00F86966"/>
    <w:rsid w:val="00F8778D"/>
    <w:rsid w:val="00F87CFC"/>
    <w:rsid w:val="00F87D7A"/>
    <w:rsid w:val="00F90120"/>
    <w:rsid w:val="00F903C2"/>
    <w:rsid w:val="00F90AF6"/>
    <w:rsid w:val="00F91AB7"/>
    <w:rsid w:val="00F91FE1"/>
    <w:rsid w:val="00F92BB2"/>
    <w:rsid w:val="00F9343A"/>
    <w:rsid w:val="00F94530"/>
    <w:rsid w:val="00F955BD"/>
    <w:rsid w:val="00F95670"/>
    <w:rsid w:val="00F9591E"/>
    <w:rsid w:val="00F96B97"/>
    <w:rsid w:val="00F97058"/>
    <w:rsid w:val="00F972C9"/>
    <w:rsid w:val="00F97BDF"/>
    <w:rsid w:val="00F97CE0"/>
    <w:rsid w:val="00F97DA9"/>
    <w:rsid w:val="00FA3837"/>
    <w:rsid w:val="00FA3894"/>
    <w:rsid w:val="00FA3E5B"/>
    <w:rsid w:val="00FA4091"/>
    <w:rsid w:val="00FA40EB"/>
    <w:rsid w:val="00FA4AFD"/>
    <w:rsid w:val="00FA5468"/>
    <w:rsid w:val="00FA5CA2"/>
    <w:rsid w:val="00FA7C06"/>
    <w:rsid w:val="00FB02CF"/>
    <w:rsid w:val="00FB1601"/>
    <w:rsid w:val="00FB3966"/>
    <w:rsid w:val="00FB474E"/>
    <w:rsid w:val="00FB5CF7"/>
    <w:rsid w:val="00FB6FD5"/>
    <w:rsid w:val="00FC0416"/>
    <w:rsid w:val="00FC222C"/>
    <w:rsid w:val="00FC27B3"/>
    <w:rsid w:val="00FC366F"/>
    <w:rsid w:val="00FC36D8"/>
    <w:rsid w:val="00FC3BCA"/>
    <w:rsid w:val="00FD094B"/>
    <w:rsid w:val="00FD205E"/>
    <w:rsid w:val="00FD2C52"/>
    <w:rsid w:val="00FD3D4E"/>
    <w:rsid w:val="00FD4171"/>
    <w:rsid w:val="00FD5A8C"/>
    <w:rsid w:val="00FD5B27"/>
    <w:rsid w:val="00FD5B86"/>
    <w:rsid w:val="00FD5C76"/>
    <w:rsid w:val="00FD611A"/>
    <w:rsid w:val="00FD624D"/>
    <w:rsid w:val="00FD6375"/>
    <w:rsid w:val="00FD7C45"/>
    <w:rsid w:val="00FE0322"/>
    <w:rsid w:val="00FE0334"/>
    <w:rsid w:val="00FE15EE"/>
    <w:rsid w:val="00FE3333"/>
    <w:rsid w:val="00FE401E"/>
    <w:rsid w:val="00FE4CD3"/>
    <w:rsid w:val="00FE5998"/>
    <w:rsid w:val="00FE6BDA"/>
    <w:rsid w:val="00FE7842"/>
    <w:rsid w:val="00FE7930"/>
    <w:rsid w:val="00FF1CD7"/>
    <w:rsid w:val="00FF3E43"/>
    <w:rsid w:val="00FF4300"/>
    <w:rsid w:val="00FF71E2"/>
    <w:rsid w:val="01833B4E"/>
    <w:rsid w:val="018D37EB"/>
    <w:rsid w:val="022E3E64"/>
    <w:rsid w:val="02480B28"/>
    <w:rsid w:val="02B47297"/>
    <w:rsid w:val="03A85626"/>
    <w:rsid w:val="042913CB"/>
    <w:rsid w:val="04D8519F"/>
    <w:rsid w:val="04DE7F2D"/>
    <w:rsid w:val="05883304"/>
    <w:rsid w:val="06015E3C"/>
    <w:rsid w:val="06781F50"/>
    <w:rsid w:val="06EC6622"/>
    <w:rsid w:val="0732424B"/>
    <w:rsid w:val="07BA50E4"/>
    <w:rsid w:val="07E45652"/>
    <w:rsid w:val="080D374D"/>
    <w:rsid w:val="08CC2F3F"/>
    <w:rsid w:val="09EA2E2F"/>
    <w:rsid w:val="0A354951"/>
    <w:rsid w:val="0B22132F"/>
    <w:rsid w:val="0B232D99"/>
    <w:rsid w:val="0D935E93"/>
    <w:rsid w:val="0F05382E"/>
    <w:rsid w:val="0FA957AB"/>
    <w:rsid w:val="10672450"/>
    <w:rsid w:val="10932F48"/>
    <w:rsid w:val="10A13437"/>
    <w:rsid w:val="112E4A07"/>
    <w:rsid w:val="11717C09"/>
    <w:rsid w:val="12266F4A"/>
    <w:rsid w:val="122F4EC1"/>
    <w:rsid w:val="12C45364"/>
    <w:rsid w:val="12D61313"/>
    <w:rsid w:val="15533E94"/>
    <w:rsid w:val="158F22E4"/>
    <w:rsid w:val="15AD5573"/>
    <w:rsid w:val="15CD2B5D"/>
    <w:rsid w:val="16200A01"/>
    <w:rsid w:val="164D3A48"/>
    <w:rsid w:val="1656598B"/>
    <w:rsid w:val="16DB1794"/>
    <w:rsid w:val="171E4694"/>
    <w:rsid w:val="17721DC8"/>
    <w:rsid w:val="17D56400"/>
    <w:rsid w:val="180611C7"/>
    <w:rsid w:val="183323C1"/>
    <w:rsid w:val="18C94AD3"/>
    <w:rsid w:val="18E92833"/>
    <w:rsid w:val="192047A6"/>
    <w:rsid w:val="19557C61"/>
    <w:rsid w:val="1980080F"/>
    <w:rsid w:val="198939AD"/>
    <w:rsid w:val="19C06CAA"/>
    <w:rsid w:val="1B842401"/>
    <w:rsid w:val="1B9F38C9"/>
    <w:rsid w:val="1CA70C88"/>
    <w:rsid w:val="1CA80BF5"/>
    <w:rsid w:val="1D29658A"/>
    <w:rsid w:val="1D5E7FF1"/>
    <w:rsid w:val="1D673A5F"/>
    <w:rsid w:val="1D711405"/>
    <w:rsid w:val="1D80216B"/>
    <w:rsid w:val="1DB2517C"/>
    <w:rsid w:val="1DB74835"/>
    <w:rsid w:val="1E6C41D7"/>
    <w:rsid w:val="1E7A7246"/>
    <w:rsid w:val="1E864856"/>
    <w:rsid w:val="1F246CE0"/>
    <w:rsid w:val="1F525822"/>
    <w:rsid w:val="1F6E2C38"/>
    <w:rsid w:val="1F793CC6"/>
    <w:rsid w:val="1FC10262"/>
    <w:rsid w:val="1FC92F51"/>
    <w:rsid w:val="1FD92D05"/>
    <w:rsid w:val="20A83220"/>
    <w:rsid w:val="215F5342"/>
    <w:rsid w:val="220D72BE"/>
    <w:rsid w:val="22C7289E"/>
    <w:rsid w:val="22D20FAF"/>
    <w:rsid w:val="23652B2E"/>
    <w:rsid w:val="23D20B9D"/>
    <w:rsid w:val="248A5117"/>
    <w:rsid w:val="249B443C"/>
    <w:rsid w:val="24C2446A"/>
    <w:rsid w:val="25EE5357"/>
    <w:rsid w:val="26966EEA"/>
    <w:rsid w:val="26F35B7C"/>
    <w:rsid w:val="27003839"/>
    <w:rsid w:val="271D6109"/>
    <w:rsid w:val="27B55B32"/>
    <w:rsid w:val="28356667"/>
    <w:rsid w:val="28F54BA6"/>
    <w:rsid w:val="29AB7711"/>
    <w:rsid w:val="2AC66A07"/>
    <w:rsid w:val="2B6767D9"/>
    <w:rsid w:val="2BB75BF0"/>
    <w:rsid w:val="2CCE02BF"/>
    <w:rsid w:val="2D683A6D"/>
    <w:rsid w:val="2D8419C2"/>
    <w:rsid w:val="2DE935BD"/>
    <w:rsid w:val="2DF57AB3"/>
    <w:rsid w:val="2E130156"/>
    <w:rsid w:val="2E1531F9"/>
    <w:rsid w:val="2EAF34D7"/>
    <w:rsid w:val="2ECC7D8A"/>
    <w:rsid w:val="30515768"/>
    <w:rsid w:val="30671524"/>
    <w:rsid w:val="31751BA7"/>
    <w:rsid w:val="31B92CD5"/>
    <w:rsid w:val="32DD07DC"/>
    <w:rsid w:val="332210FD"/>
    <w:rsid w:val="33786E4A"/>
    <w:rsid w:val="338B66B1"/>
    <w:rsid w:val="36372167"/>
    <w:rsid w:val="36CA76E8"/>
    <w:rsid w:val="36D76BAD"/>
    <w:rsid w:val="37403D5B"/>
    <w:rsid w:val="37952A8C"/>
    <w:rsid w:val="37960429"/>
    <w:rsid w:val="383F5E28"/>
    <w:rsid w:val="38D17462"/>
    <w:rsid w:val="390F1A9A"/>
    <w:rsid w:val="39DB62E0"/>
    <w:rsid w:val="39E90401"/>
    <w:rsid w:val="3A193646"/>
    <w:rsid w:val="3A201773"/>
    <w:rsid w:val="3A241D62"/>
    <w:rsid w:val="3A2D50A9"/>
    <w:rsid w:val="3A632C4D"/>
    <w:rsid w:val="3A77753E"/>
    <w:rsid w:val="3A8E422C"/>
    <w:rsid w:val="3B2536E4"/>
    <w:rsid w:val="3B5C4041"/>
    <w:rsid w:val="3C226B25"/>
    <w:rsid w:val="3E700782"/>
    <w:rsid w:val="3E704978"/>
    <w:rsid w:val="3E8B6203"/>
    <w:rsid w:val="3EEE053C"/>
    <w:rsid w:val="3F507266"/>
    <w:rsid w:val="40277ED8"/>
    <w:rsid w:val="4030087A"/>
    <w:rsid w:val="40583406"/>
    <w:rsid w:val="40623909"/>
    <w:rsid w:val="4148144B"/>
    <w:rsid w:val="418426C5"/>
    <w:rsid w:val="42502E63"/>
    <w:rsid w:val="426C7EAC"/>
    <w:rsid w:val="42704934"/>
    <w:rsid w:val="43864CD1"/>
    <w:rsid w:val="43E812E5"/>
    <w:rsid w:val="444F4B55"/>
    <w:rsid w:val="44FA497E"/>
    <w:rsid w:val="451E5F37"/>
    <w:rsid w:val="458E4819"/>
    <w:rsid w:val="45CF039C"/>
    <w:rsid w:val="463F4408"/>
    <w:rsid w:val="4678706D"/>
    <w:rsid w:val="47C14CDB"/>
    <w:rsid w:val="47F334EB"/>
    <w:rsid w:val="484D62D8"/>
    <w:rsid w:val="48E96060"/>
    <w:rsid w:val="490B389B"/>
    <w:rsid w:val="498A3DCD"/>
    <w:rsid w:val="49B72CE6"/>
    <w:rsid w:val="4A090C0B"/>
    <w:rsid w:val="4A4F6EE1"/>
    <w:rsid w:val="4A7A3BA7"/>
    <w:rsid w:val="4B507579"/>
    <w:rsid w:val="4C8B24FC"/>
    <w:rsid w:val="4CF546E4"/>
    <w:rsid w:val="4D0D02A9"/>
    <w:rsid w:val="4D5819A6"/>
    <w:rsid w:val="4DB406ED"/>
    <w:rsid w:val="4E08517B"/>
    <w:rsid w:val="4F4577B1"/>
    <w:rsid w:val="501167D0"/>
    <w:rsid w:val="50C7588A"/>
    <w:rsid w:val="50F10148"/>
    <w:rsid w:val="511945E2"/>
    <w:rsid w:val="52EB34B7"/>
    <w:rsid w:val="53B2178A"/>
    <w:rsid w:val="545A23CA"/>
    <w:rsid w:val="545B36F6"/>
    <w:rsid w:val="54AE74AE"/>
    <w:rsid w:val="555A1CAC"/>
    <w:rsid w:val="55D23B66"/>
    <w:rsid w:val="57314362"/>
    <w:rsid w:val="58C900DE"/>
    <w:rsid w:val="591009FC"/>
    <w:rsid w:val="59E05AB8"/>
    <w:rsid w:val="5A386DE8"/>
    <w:rsid w:val="5AC26444"/>
    <w:rsid w:val="5AE33ED1"/>
    <w:rsid w:val="5B182AAF"/>
    <w:rsid w:val="5C1565C5"/>
    <w:rsid w:val="5C6A5252"/>
    <w:rsid w:val="5D1E1E81"/>
    <w:rsid w:val="5D5C103F"/>
    <w:rsid w:val="5DDC68C2"/>
    <w:rsid w:val="5DE358AA"/>
    <w:rsid w:val="5DF975A7"/>
    <w:rsid w:val="5E0934A5"/>
    <w:rsid w:val="5E657002"/>
    <w:rsid w:val="5EF576FB"/>
    <w:rsid w:val="5F370931"/>
    <w:rsid w:val="5F427C62"/>
    <w:rsid w:val="5F6E3821"/>
    <w:rsid w:val="5F6E6E08"/>
    <w:rsid w:val="60661094"/>
    <w:rsid w:val="608D5F36"/>
    <w:rsid w:val="60C42E7B"/>
    <w:rsid w:val="618F4DF8"/>
    <w:rsid w:val="621660B6"/>
    <w:rsid w:val="623D3DC6"/>
    <w:rsid w:val="63D75968"/>
    <w:rsid w:val="63F91396"/>
    <w:rsid w:val="644F7208"/>
    <w:rsid w:val="645C155E"/>
    <w:rsid w:val="647676EA"/>
    <w:rsid w:val="64F2695E"/>
    <w:rsid w:val="655614A6"/>
    <w:rsid w:val="6558419C"/>
    <w:rsid w:val="65DA2995"/>
    <w:rsid w:val="65F01E0C"/>
    <w:rsid w:val="662E7EF4"/>
    <w:rsid w:val="663C1A0D"/>
    <w:rsid w:val="665F4E33"/>
    <w:rsid w:val="66630D48"/>
    <w:rsid w:val="674307EE"/>
    <w:rsid w:val="6773274B"/>
    <w:rsid w:val="679E2BBF"/>
    <w:rsid w:val="68620F5E"/>
    <w:rsid w:val="68753FA9"/>
    <w:rsid w:val="69774840"/>
    <w:rsid w:val="6A1F767C"/>
    <w:rsid w:val="6A5A42E0"/>
    <w:rsid w:val="6AA06A0F"/>
    <w:rsid w:val="6BEC459F"/>
    <w:rsid w:val="6C372E0B"/>
    <w:rsid w:val="6CC515B7"/>
    <w:rsid w:val="6D152AB2"/>
    <w:rsid w:val="6D645394"/>
    <w:rsid w:val="6D7C6B93"/>
    <w:rsid w:val="6F3F171E"/>
    <w:rsid w:val="700D26AD"/>
    <w:rsid w:val="70960D72"/>
    <w:rsid w:val="710C74BB"/>
    <w:rsid w:val="7115664D"/>
    <w:rsid w:val="712C4213"/>
    <w:rsid w:val="722032EE"/>
    <w:rsid w:val="723236CE"/>
    <w:rsid w:val="73047253"/>
    <w:rsid w:val="735B446A"/>
    <w:rsid w:val="73C47296"/>
    <w:rsid w:val="73DA5D38"/>
    <w:rsid w:val="747C08A8"/>
    <w:rsid w:val="74DD43BC"/>
    <w:rsid w:val="751D1679"/>
    <w:rsid w:val="75253320"/>
    <w:rsid w:val="753F1D86"/>
    <w:rsid w:val="75664EBB"/>
    <w:rsid w:val="75AE24CD"/>
    <w:rsid w:val="763D1604"/>
    <w:rsid w:val="771811C5"/>
    <w:rsid w:val="776B4E75"/>
    <w:rsid w:val="77B8461E"/>
    <w:rsid w:val="785C5C41"/>
    <w:rsid w:val="78CE3286"/>
    <w:rsid w:val="79EE2C3F"/>
    <w:rsid w:val="7A6B0B30"/>
    <w:rsid w:val="7AE14483"/>
    <w:rsid w:val="7AE21C17"/>
    <w:rsid w:val="7BA45424"/>
    <w:rsid w:val="7BFB20BE"/>
    <w:rsid w:val="7C03284C"/>
    <w:rsid w:val="7C333C9A"/>
    <w:rsid w:val="7C38637B"/>
    <w:rsid w:val="7CB9570E"/>
    <w:rsid w:val="7D234277"/>
    <w:rsid w:val="7D3953EE"/>
    <w:rsid w:val="7F891128"/>
    <w:rsid w:val="7F9F4D28"/>
    <w:rsid w:val="7FA2248A"/>
    <w:rsid w:val="7FAC6B54"/>
    <w:rsid w:val="7FDE28B2"/>
    <w:rsid w:val="7FEE1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1" w:semiHidden="0" w:name="heading 2"/>
    <w:lsdException w:qFormat="1" w:uiPriority="1"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200" w:firstLineChars="200"/>
      <w:jc w:val="both"/>
    </w:pPr>
    <w:rPr>
      <w:rFonts w:ascii="Times New Roman" w:hAnsi="Times New Roman" w:eastAsia="仿宋" w:cs="Times New Roman"/>
      <w:kern w:val="2"/>
      <w:sz w:val="24"/>
      <w:szCs w:val="22"/>
      <w:lang w:val="en-US" w:eastAsia="zh-CN" w:bidi="ar-SA"/>
    </w:rPr>
  </w:style>
  <w:style w:type="paragraph" w:styleId="2">
    <w:name w:val="heading 1"/>
    <w:basedOn w:val="1"/>
    <w:next w:val="1"/>
    <w:link w:val="35"/>
    <w:autoRedefine/>
    <w:qFormat/>
    <w:uiPriority w:val="1"/>
    <w:pPr>
      <w:keepNext/>
      <w:keepLines/>
      <w:spacing w:before="120" w:after="120"/>
      <w:ind w:firstLine="0" w:firstLineChars="0"/>
      <w:outlineLvl w:val="0"/>
    </w:pPr>
    <w:rPr>
      <w:b/>
      <w:bCs/>
      <w:kern w:val="44"/>
      <w:sz w:val="32"/>
      <w:szCs w:val="44"/>
    </w:rPr>
  </w:style>
  <w:style w:type="paragraph" w:styleId="3">
    <w:name w:val="heading 2"/>
    <w:basedOn w:val="1"/>
    <w:next w:val="1"/>
    <w:link w:val="36"/>
    <w:autoRedefine/>
    <w:unhideWhenUsed/>
    <w:qFormat/>
    <w:uiPriority w:val="1"/>
    <w:pPr>
      <w:keepNext/>
      <w:keepLines/>
      <w:spacing w:before="120" w:after="120"/>
      <w:ind w:firstLine="0" w:firstLineChars="0"/>
      <w:outlineLvl w:val="1"/>
    </w:pPr>
    <w:rPr>
      <w:rFonts w:ascii="Cambria" w:hAnsi="Cambria"/>
      <w:b/>
      <w:bCs/>
      <w:kern w:val="0"/>
      <w:sz w:val="30"/>
      <w:szCs w:val="32"/>
    </w:rPr>
  </w:style>
  <w:style w:type="paragraph" w:styleId="4">
    <w:name w:val="heading 3"/>
    <w:basedOn w:val="1"/>
    <w:next w:val="1"/>
    <w:link w:val="39"/>
    <w:autoRedefine/>
    <w:unhideWhenUsed/>
    <w:qFormat/>
    <w:uiPriority w:val="1"/>
    <w:pPr>
      <w:keepNext/>
      <w:keepLines/>
      <w:spacing w:before="120" w:after="120"/>
      <w:ind w:firstLine="0" w:firstLineChars="0"/>
      <w:outlineLvl w:val="2"/>
    </w:pPr>
    <w:rPr>
      <w:b/>
      <w:bCs/>
      <w:kern w:val="0"/>
      <w:sz w:val="28"/>
      <w:szCs w:val="32"/>
    </w:rPr>
  </w:style>
  <w:style w:type="paragraph" w:styleId="5">
    <w:name w:val="heading 4"/>
    <w:basedOn w:val="1"/>
    <w:next w:val="1"/>
    <w:link w:val="44"/>
    <w:autoRedefine/>
    <w:unhideWhenUsed/>
    <w:qFormat/>
    <w:uiPriority w:val="9"/>
    <w:pPr>
      <w:keepNext/>
      <w:keepLines/>
      <w:spacing w:before="120" w:after="120"/>
      <w:ind w:firstLine="0" w:firstLineChars="0"/>
      <w:outlineLvl w:val="3"/>
    </w:pPr>
    <w:rPr>
      <w:rFonts w:ascii="Cambria" w:hAnsi="Cambria"/>
      <w:b/>
      <w:bCs/>
      <w:szCs w:val="28"/>
    </w:rPr>
  </w:style>
  <w:style w:type="paragraph" w:styleId="6">
    <w:name w:val="heading 5"/>
    <w:basedOn w:val="1"/>
    <w:next w:val="1"/>
    <w:autoRedefine/>
    <w:semiHidden/>
    <w:unhideWhenUsed/>
    <w:qFormat/>
    <w:uiPriority w:val="9"/>
    <w:pPr>
      <w:keepNext/>
      <w:keepLines/>
      <w:spacing w:before="280" w:after="290" w:line="372" w:lineRule="auto"/>
      <w:outlineLvl w:val="4"/>
    </w:pPr>
    <w:rPr>
      <w:b/>
      <w:sz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7">
    <w:name w:val="Document Map"/>
    <w:basedOn w:val="1"/>
    <w:link w:val="31"/>
    <w:autoRedefine/>
    <w:semiHidden/>
    <w:unhideWhenUsed/>
    <w:qFormat/>
    <w:uiPriority w:val="99"/>
    <w:rPr>
      <w:rFonts w:ascii="宋体"/>
      <w:kern w:val="0"/>
      <w:sz w:val="18"/>
      <w:szCs w:val="18"/>
    </w:rPr>
  </w:style>
  <w:style w:type="paragraph" w:styleId="8">
    <w:name w:val="annotation text"/>
    <w:basedOn w:val="1"/>
    <w:link w:val="49"/>
    <w:autoRedefine/>
    <w:semiHidden/>
    <w:unhideWhenUsed/>
    <w:qFormat/>
    <w:uiPriority w:val="99"/>
    <w:pPr>
      <w:jc w:val="left"/>
    </w:pPr>
  </w:style>
  <w:style w:type="paragraph" w:styleId="9">
    <w:name w:val="Body Text"/>
    <w:basedOn w:val="1"/>
    <w:link w:val="52"/>
    <w:autoRedefine/>
    <w:qFormat/>
    <w:uiPriority w:val="1"/>
    <w:pPr>
      <w:ind w:firstLine="0" w:firstLineChars="0"/>
      <w:jc w:val="left"/>
      <w:outlineLvl w:val="3"/>
    </w:pPr>
    <w:rPr>
      <w:rFonts w:ascii="微软雅黑" w:hAnsi="微软雅黑" w:eastAsia="宋体"/>
      <w:kern w:val="0"/>
      <w:szCs w:val="21"/>
      <w:lang w:eastAsia="en-US"/>
    </w:rPr>
  </w:style>
  <w:style w:type="paragraph" w:styleId="10">
    <w:name w:val="toc 3"/>
    <w:basedOn w:val="1"/>
    <w:next w:val="1"/>
    <w:autoRedefine/>
    <w:unhideWhenUsed/>
    <w:qFormat/>
    <w:uiPriority w:val="39"/>
    <w:pPr>
      <w:ind w:left="840" w:leftChars="400"/>
    </w:pPr>
  </w:style>
  <w:style w:type="paragraph" w:styleId="11">
    <w:name w:val="Date"/>
    <w:basedOn w:val="1"/>
    <w:next w:val="1"/>
    <w:link w:val="32"/>
    <w:autoRedefine/>
    <w:semiHidden/>
    <w:unhideWhenUsed/>
    <w:qFormat/>
    <w:uiPriority w:val="99"/>
    <w:pPr>
      <w:ind w:left="100" w:leftChars="2500"/>
    </w:pPr>
  </w:style>
  <w:style w:type="paragraph" w:styleId="12">
    <w:name w:val="Balloon Text"/>
    <w:basedOn w:val="1"/>
    <w:link w:val="34"/>
    <w:semiHidden/>
    <w:unhideWhenUsed/>
    <w:qFormat/>
    <w:uiPriority w:val="99"/>
    <w:rPr>
      <w:kern w:val="0"/>
      <w:sz w:val="18"/>
      <w:szCs w:val="18"/>
    </w:rPr>
  </w:style>
  <w:style w:type="paragraph" w:styleId="13">
    <w:name w:val="footer"/>
    <w:basedOn w:val="1"/>
    <w:link w:val="30"/>
    <w:autoRedefine/>
    <w:unhideWhenUsed/>
    <w:qFormat/>
    <w:uiPriority w:val="99"/>
    <w:pPr>
      <w:tabs>
        <w:tab w:val="center" w:pos="4153"/>
        <w:tab w:val="right" w:pos="8306"/>
      </w:tabs>
      <w:snapToGrid w:val="0"/>
      <w:jc w:val="left"/>
    </w:pPr>
    <w:rPr>
      <w:kern w:val="0"/>
      <w:sz w:val="18"/>
      <w:szCs w:val="18"/>
    </w:rPr>
  </w:style>
  <w:style w:type="paragraph" w:styleId="14">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5">
    <w:name w:val="toc 1"/>
    <w:basedOn w:val="1"/>
    <w:next w:val="1"/>
    <w:autoRedefine/>
    <w:unhideWhenUsed/>
    <w:qFormat/>
    <w:uiPriority w:val="39"/>
    <w:pPr>
      <w:tabs>
        <w:tab w:val="right" w:leader="dot" w:pos="8737"/>
      </w:tabs>
      <w:ind w:firstLine="0" w:firstLineChars="0"/>
    </w:pPr>
  </w:style>
  <w:style w:type="paragraph" w:styleId="16">
    <w:name w:val="toc 2"/>
    <w:basedOn w:val="1"/>
    <w:next w:val="1"/>
    <w:autoRedefine/>
    <w:unhideWhenUsed/>
    <w:qFormat/>
    <w:uiPriority w:val="39"/>
    <w:pPr>
      <w:tabs>
        <w:tab w:val="right" w:leader="dot" w:pos="8737"/>
      </w:tabs>
      <w:ind w:firstLine="480"/>
    </w:pPr>
  </w:style>
  <w:style w:type="paragraph" w:styleId="17">
    <w:name w:val="HTML Preformatted"/>
    <w:basedOn w:val="1"/>
    <w:link w:val="42"/>
    <w:autoRedefine/>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Cs w:val="24"/>
    </w:rPr>
  </w:style>
  <w:style w:type="paragraph" w:styleId="18">
    <w:name w:val="Normal (Web)"/>
    <w:basedOn w:val="1"/>
    <w:autoRedefine/>
    <w:semiHidden/>
    <w:unhideWhenUsed/>
    <w:qFormat/>
    <w:uiPriority w:val="99"/>
    <w:pPr>
      <w:widowControl/>
      <w:spacing w:before="100" w:beforeAutospacing="1" w:after="100" w:afterAutospacing="1"/>
      <w:jc w:val="left"/>
    </w:pPr>
    <w:rPr>
      <w:rFonts w:ascii="宋体" w:hAnsi="宋体" w:cs="宋体"/>
      <w:kern w:val="0"/>
      <w:szCs w:val="24"/>
    </w:rPr>
  </w:style>
  <w:style w:type="paragraph" w:styleId="19">
    <w:name w:val="annotation subject"/>
    <w:basedOn w:val="8"/>
    <w:next w:val="8"/>
    <w:link w:val="50"/>
    <w:autoRedefine/>
    <w:semiHidden/>
    <w:unhideWhenUsed/>
    <w:qFormat/>
    <w:uiPriority w:val="99"/>
    <w:rPr>
      <w:b/>
      <w:bCs/>
    </w:rPr>
  </w:style>
  <w:style w:type="table" w:styleId="21">
    <w:name w:val="Table Grid"/>
    <w:basedOn w:val="20"/>
    <w:autoRedefine/>
    <w:qFormat/>
    <w:uiPriority w:val="39"/>
    <w:pPr>
      <w:jc w:val="center"/>
    </w:pPr>
    <w:rPr>
      <w:sz w:val="21"/>
    </w:rPr>
    <w:tblPr>
      <w:tblBorders>
        <w:top w:val="single" w:color="000000" w:sz="4" w:space="0"/>
        <w:bottom w:val="single" w:color="000000" w:sz="4" w:space="0"/>
        <w:insideH w:val="single" w:color="000000" w:sz="4" w:space="0"/>
        <w:insideV w:val="single" w:color="000000" w:sz="4" w:space="0"/>
      </w:tblBorders>
    </w:tblPr>
    <w:tcPr>
      <w:vAlign w:val="center"/>
    </w:tcPr>
  </w:style>
  <w:style w:type="character" w:styleId="23">
    <w:name w:val="Strong"/>
    <w:autoRedefine/>
    <w:qFormat/>
    <w:uiPriority w:val="22"/>
    <w:rPr>
      <w:b/>
      <w:bCs/>
    </w:rPr>
  </w:style>
  <w:style w:type="character" w:styleId="24">
    <w:name w:val="page number"/>
    <w:basedOn w:val="22"/>
    <w:autoRedefine/>
    <w:qFormat/>
    <w:uiPriority w:val="0"/>
  </w:style>
  <w:style w:type="character" w:styleId="25">
    <w:name w:val="FollowedHyperlink"/>
    <w:basedOn w:val="22"/>
    <w:autoRedefine/>
    <w:semiHidden/>
    <w:unhideWhenUsed/>
    <w:qFormat/>
    <w:uiPriority w:val="99"/>
    <w:rPr>
      <w:color w:val="000000"/>
      <w:u w:val="none"/>
    </w:rPr>
  </w:style>
  <w:style w:type="character" w:styleId="26">
    <w:name w:val="Emphasis"/>
    <w:basedOn w:val="22"/>
    <w:autoRedefine/>
    <w:qFormat/>
    <w:uiPriority w:val="20"/>
  </w:style>
  <w:style w:type="character" w:styleId="27">
    <w:name w:val="Hyperlink"/>
    <w:autoRedefine/>
    <w:unhideWhenUsed/>
    <w:qFormat/>
    <w:uiPriority w:val="99"/>
    <w:rPr>
      <w:color w:val="136EC2"/>
      <w:u w:val="single"/>
    </w:rPr>
  </w:style>
  <w:style w:type="character" w:styleId="28">
    <w:name w:val="annotation reference"/>
    <w:autoRedefine/>
    <w:semiHidden/>
    <w:unhideWhenUsed/>
    <w:qFormat/>
    <w:uiPriority w:val="99"/>
    <w:rPr>
      <w:sz w:val="21"/>
      <w:szCs w:val="21"/>
    </w:rPr>
  </w:style>
  <w:style w:type="character" w:customStyle="1" w:styleId="29">
    <w:name w:val="页眉 字符1"/>
    <w:link w:val="14"/>
    <w:autoRedefine/>
    <w:qFormat/>
    <w:uiPriority w:val="99"/>
    <w:rPr>
      <w:sz w:val="18"/>
      <w:szCs w:val="18"/>
    </w:rPr>
  </w:style>
  <w:style w:type="character" w:customStyle="1" w:styleId="30">
    <w:name w:val="页脚 字符1"/>
    <w:link w:val="13"/>
    <w:autoRedefine/>
    <w:qFormat/>
    <w:uiPriority w:val="99"/>
    <w:rPr>
      <w:sz w:val="18"/>
      <w:szCs w:val="18"/>
    </w:rPr>
  </w:style>
  <w:style w:type="character" w:customStyle="1" w:styleId="31">
    <w:name w:val="文档结构图 字符"/>
    <w:link w:val="7"/>
    <w:autoRedefine/>
    <w:semiHidden/>
    <w:qFormat/>
    <w:uiPriority w:val="99"/>
    <w:rPr>
      <w:rFonts w:ascii="宋体" w:eastAsia="宋体"/>
      <w:sz w:val="18"/>
      <w:szCs w:val="18"/>
    </w:rPr>
  </w:style>
  <w:style w:type="character" w:customStyle="1" w:styleId="32">
    <w:name w:val="日期 字符"/>
    <w:basedOn w:val="22"/>
    <w:link w:val="11"/>
    <w:autoRedefine/>
    <w:semiHidden/>
    <w:qFormat/>
    <w:uiPriority w:val="99"/>
  </w:style>
  <w:style w:type="paragraph" w:customStyle="1" w:styleId="33">
    <w:name w:val="列出段落1"/>
    <w:basedOn w:val="1"/>
    <w:autoRedefine/>
    <w:qFormat/>
    <w:uiPriority w:val="34"/>
    <w:pPr>
      <w:ind w:firstLine="0" w:firstLineChars="0"/>
      <w:jc w:val="center"/>
    </w:pPr>
    <w:rPr>
      <w:rFonts w:eastAsia="黑体"/>
    </w:rPr>
  </w:style>
  <w:style w:type="character" w:customStyle="1" w:styleId="34">
    <w:name w:val="批注框文本 字符"/>
    <w:link w:val="12"/>
    <w:autoRedefine/>
    <w:semiHidden/>
    <w:qFormat/>
    <w:uiPriority w:val="99"/>
    <w:rPr>
      <w:sz w:val="18"/>
      <w:szCs w:val="18"/>
    </w:rPr>
  </w:style>
  <w:style w:type="character" w:customStyle="1" w:styleId="35">
    <w:name w:val="标题 1 字符"/>
    <w:link w:val="2"/>
    <w:autoRedefine/>
    <w:qFormat/>
    <w:uiPriority w:val="1"/>
    <w:rPr>
      <w:rFonts w:ascii="Times New Roman" w:hAnsi="Times New Roman"/>
      <w:b/>
      <w:bCs/>
      <w:kern w:val="44"/>
      <w:sz w:val="32"/>
      <w:szCs w:val="44"/>
    </w:rPr>
  </w:style>
  <w:style w:type="character" w:customStyle="1" w:styleId="36">
    <w:name w:val="标题 2 字符"/>
    <w:link w:val="3"/>
    <w:autoRedefine/>
    <w:qFormat/>
    <w:uiPriority w:val="1"/>
    <w:rPr>
      <w:rFonts w:ascii="Cambria" w:hAnsi="Cambria"/>
      <w:b/>
      <w:bCs/>
      <w:sz w:val="30"/>
      <w:szCs w:val="32"/>
    </w:rPr>
  </w:style>
  <w:style w:type="paragraph" w:customStyle="1" w:styleId="37">
    <w:name w:val="办公正文1"/>
    <w:basedOn w:val="1"/>
    <w:link w:val="38"/>
    <w:autoRedefine/>
    <w:qFormat/>
    <w:uiPriority w:val="0"/>
    <w:pPr>
      <w:widowControl/>
    </w:pPr>
    <w:rPr>
      <w:rFonts w:ascii="方正仿宋_GBK" w:hAnsi="方正仿宋_GBK" w:eastAsia="方正仿宋_GBK"/>
      <w:kern w:val="0"/>
      <w:sz w:val="32"/>
      <w:szCs w:val="32"/>
    </w:rPr>
  </w:style>
  <w:style w:type="character" w:customStyle="1" w:styleId="38">
    <w:name w:val="办公正文1 Char"/>
    <w:link w:val="37"/>
    <w:autoRedefine/>
    <w:qFormat/>
    <w:uiPriority w:val="0"/>
    <w:rPr>
      <w:rFonts w:ascii="方正仿宋_GBK" w:hAnsi="方正仿宋_GBK" w:eastAsia="方正仿宋_GBK" w:cs="Times New Roman"/>
      <w:sz w:val="32"/>
      <w:szCs w:val="32"/>
    </w:rPr>
  </w:style>
  <w:style w:type="character" w:customStyle="1" w:styleId="39">
    <w:name w:val="标题 3 字符"/>
    <w:link w:val="4"/>
    <w:autoRedefine/>
    <w:qFormat/>
    <w:uiPriority w:val="1"/>
    <w:rPr>
      <w:rFonts w:ascii="Times New Roman" w:hAnsi="Times New Roman" w:eastAsia="仿宋"/>
      <w:b/>
      <w:bCs/>
      <w:sz w:val="28"/>
      <w:szCs w:val="32"/>
    </w:rPr>
  </w:style>
  <w:style w:type="character" w:customStyle="1" w:styleId="40">
    <w:name w:val="ca-01"/>
    <w:autoRedefine/>
    <w:qFormat/>
    <w:uiPriority w:val="0"/>
    <w:rPr>
      <w:rFonts w:hint="eastAsia" w:ascii="宋体" w:hAnsi="宋体" w:eastAsia="宋体"/>
      <w:sz w:val="18"/>
      <w:szCs w:val="18"/>
    </w:rPr>
  </w:style>
  <w:style w:type="paragraph" w:customStyle="1" w:styleId="41">
    <w:name w:val="修订1"/>
    <w:autoRedefine/>
    <w:hidden/>
    <w:semiHidden/>
    <w:qFormat/>
    <w:uiPriority w:val="99"/>
    <w:rPr>
      <w:rFonts w:ascii="Calibri" w:hAnsi="Calibri" w:eastAsia="宋体" w:cs="Times New Roman"/>
      <w:kern w:val="2"/>
      <w:sz w:val="21"/>
      <w:szCs w:val="22"/>
      <w:lang w:val="en-US" w:eastAsia="zh-CN" w:bidi="ar-SA"/>
    </w:rPr>
  </w:style>
  <w:style w:type="character" w:customStyle="1" w:styleId="42">
    <w:name w:val="HTML 预设格式 字符"/>
    <w:link w:val="17"/>
    <w:autoRedefine/>
    <w:semiHidden/>
    <w:qFormat/>
    <w:uiPriority w:val="99"/>
    <w:rPr>
      <w:rFonts w:ascii="宋体" w:hAnsi="宋体" w:cs="宋体"/>
      <w:sz w:val="24"/>
      <w:szCs w:val="24"/>
    </w:rPr>
  </w:style>
  <w:style w:type="character" w:customStyle="1" w:styleId="43">
    <w:name w:val="apple-converted-space"/>
    <w:basedOn w:val="22"/>
    <w:autoRedefine/>
    <w:qFormat/>
    <w:uiPriority w:val="0"/>
  </w:style>
  <w:style w:type="character" w:customStyle="1" w:styleId="44">
    <w:name w:val="标题 4 字符"/>
    <w:link w:val="5"/>
    <w:autoRedefine/>
    <w:qFormat/>
    <w:uiPriority w:val="9"/>
    <w:rPr>
      <w:rFonts w:ascii="Cambria" w:hAnsi="Cambria" w:eastAsia="仿宋"/>
      <w:b/>
      <w:bCs/>
      <w:kern w:val="2"/>
      <w:sz w:val="24"/>
      <w:szCs w:val="28"/>
    </w:rPr>
  </w:style>
  <w:style w:type="paragraph" w:customStyle="1" w:styleId="45">
    <w:name w:val="TOC 标题1"/>
    <w:basedOn w:val="2"/>
    <w:next w:val="1"/>
    <w:autoRedefine/>
    <w:semiHidden/>
    <w:unhideWhenUsed/>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46">
    <w:name w:val="目录 21"/>
    <w:basedOn w:val="1"/>
    <w:next w:val="1"/>
    <w:autoRedefine/>
    <w:unhideWhenUsed/>
    <w:qFormat/>
    <w:uiPriority w:val="39"/>
    <w:pPr>
      <w:widowControl/>
      <w:spacing w:after="100" w:line="276" w:lineRule="auto"/>
      <w:ind w:left="220"/>
      <w:jc w:val="left"/>
    </w:pPr>
    <w:rPr>
      <w:rFonts w:ascii="Calibri" w:hAnsi="Calibri" w:eastAsia="宋体"/>
      <w:kern w:val="0"/>
      <w:sz w:val="22"/>
    </w:rPr>
  </w:style>
  <w:style w:type="paragraph" w:customStyle="1" w:styleId="47">
    <w:name w:val="目录 11"/>
    <w:basedOn w:val="1"/>
    <w:next w:val="1"/>
    <w:autoRedefine/>
    <w:unhideWhenUsed/>
    <w:qFormat/>
    <w:uiPriority w:val="39"/>
    <w:pPr>
      <w:widowControl/>
      <w:tabs>
        <w:tab w:val="right" w:leader="dot" w:pos="8296"/>
      </w:tabs>
      <w:spacing w:after="100" w:line="276" w:lineRule="auto"/>
      <w:jc w:val="center"/>
    </w:pPr>
    <w:rPr>
      <w:kern w:val="0"/>
      <w:sz w:val="28"/>
      <w:szCs w:val="28"/>
    </w:rPr>
  </w:style>
  <w:style w:type="paragraph" w:customStyle="1" w:styleId="48">
    <w:name w:val="目录 31"/>
    <w:basedOn w:val="1"/>
    <w:next w:val="1"/>
    <w:autoRedefine/>
    <w:unhideWhenUsed/>
    <w:qFormat/>
    <w:uiPriority w:val="39"/>
    <w:pPr>
      <w:widowControl/>
      <w:spacing w:after="100" w:line="276" w:lineRule="auto"/>
      <w:ind w:left="440"/>
      <w:jc w:val="left"/>
    </w:pPr>
    <w:rPr>
      <w:rFonts w:ascii="Calibri" w:hAnsi="Calibri" w:eastAsia="宋体"/>
      <w:kern w:val="0"/>
      <w:sz w:val="22"/>
    </w:rPr>
  </w:style>
  <w:style w:type="character" w:customStyle="1" w:styleId="49">
    <w:name w:val="批注文字 字符"/>
    <w:link w:val="8"/>
    <w:autoRedefine/>
    <w:semiHidden/>
    <w:qFormat/>
    <w:uiPriority w:val="99"/>
    <w:rPr>
      <w:kern w:val="2"/>
      <w:sz w:val="21"/>
      <w:szCs w:val="22"/>
    </w:rPr>
  </w:style>
  <w:style w:type="character" w:customStyle="1" w:styleId="50">
    <w:name w:val="批注主题 字符"/>
    <w:link w:val="19"/>
    <w:autoRedefine/>
    <w:semiHidden/>
    <w:qFormat/>
    <w:uiPriority w:val="99"/>
    <w:rPr>
      <w:b/>
      <w:bCs/>
      <w:kern w:val="2"/>
      <w:sz w:val="21"/>
      <w:szCs w:val="22"/>
    </w:rPr>
  </w:style>
  <w:style w:type="table" w:customStyle="1" w:styleId="51">
    <w:name w:val="Table Normal"/>
    <w:autoRedefine/>
    <w:semiHidden/>
    <w:unhideWhenUsed/>
    <w:qFormat/>
    <w:uiPriority w:val="2"/>
    <w:pPr>
      <w:widowControl w:val="0"/>
    </w:pPr>
    <w:rPr>
      <w:sz w:val="22"/>
      <w:szCs w:val="22"/>
      <w:lang w:eastAsia="en-US"/>
    </w:rPr>
    <w:tblPr>
      <w:tblCellMar>
        <w:top w:w="0" w:type="dxa"/>
        <w:left w:w="0" w:type="dxa"/>
        <w:bottom w:w="0" w:type="dxa"/>
        <w:right w:w="0" w:type="dxa"/>
      </w:tblCellMar>
    </w:tblPr>
  </w:style>
  <w:style w:type="character" w:customStyle="1" w:styleId="52">
    <w:name w:val="正文文本 字符"/>
    <w:link w:val="9"/>
    <w:autoRedefine/>
    <w:qFormat/>
    <w:uiPriority w:val="1"/>
    <w:rPr>
      <w:rFonts w:ascii="微软雅黑" w:hAnsi="微软雅黑" w:eastAsia="宋体"/>
      <w:sz w:val="24"/>
      <w:szCs w:val="21"/>
      <w:lang w:eastAsia="en-US"/>
    </w:rPr>
  </w:style>
  <w:style w:type="paragraph" w:customStyle="1" w:styleId="53">
    <w:name w:val="Table Paragraph"/>
    <w:basedOn w:val="1"/>
    <w:autoRedefine/>
    <w:qFormat/>
    <w:uiPriority w:val="1"/>
    <w:pPr>
      <w:jc w:val="left"/>
    </w:pPr>
    <w:rPr>
      <w:rFonts w:ascii="Calibri" w:hAnsi="Calibri" w:eastAsia="宋体"/>
      <w:kern w:val="0"/>
      <w:sz w:val="22"/>
      <w:lang w:eastAsia="en-US"/>
    </w:rPr>
  </w:style>
  <w:style w:type="paragraph" w:styleId="54">
    <w:name w:val="No Spacing"/>
    <w:autoRedefine/>
    <w:qFormat/>
    <w:uiPriority w:val="1"/>
    <w:pPr>
      <w:widowControl w:val="0"/>
      <w:jc w:val="center"/>
    </w:pPr>
    <w:rPr>
      <w:rFonts w:ascii="Times New Roman" w:hAnsi="Times New Roman" w:eastAsia="宋体" w:cs="Times New Roman"/>
      <w:kern w:val="2"/>
      <w:sz w:val="21"/>
      <w:szCs w:val="22"/>
      <w:lang w:val="en-US" w:eastAsia="zh-CN" w:bidi="ar-SA"/>
    </w:rPr>
  </w:style>
  <w:style w:type="table" w:customStyle="1" w:styleId="55">
    <w:name w:val="样式1"/>
    <w:basedOn w:val="20"/>
    <w:autoRedefine/>
    <w:qFormat/>
    <w:uiPriority w:val="99"/>
    <w:rPr>
      <w:sz w:val="21"/>
    </w:rPr>
  </w:style>
  <w:style w:type="paragraph" w:customStyle="1" w:styleId="56">
    <w:name w:val="表格"/>
    <w:basedOn w:val="1"/>
    <w:link w:val="58"/>
    <w:autoRedefine/>
    <w:qFormat/>
    <w:uiPriority w:val="0"/>
    <w:pPr>
      <w:ind w:firstLine="0" w:firstLineChars="0"/>
      <w:jc w:val="center"/>
    </w:pPr>
    <w:rPr>
      <w:rFonts w:eastAsia="宋体"/>
      <w:sz w:val="21"/>
      <w:szCs w:val="18"/>
    </w:rPr>
  </w:style>
  <w:style w:type="paragraph" w:customStyle="1" w:styleId="57">
    <w:name w:val="Default"/>
    <w:autoRedefine/>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58">
    <w:name w:val="表格 Char"/>
    <w:link w:val="56"/>
    <w:autoRedefine/>
    <w:qFormat/>
    <w:uiPriority w:val="0"/>
    <w:rPr>
      <w:rFonts w:ascii="Times New Roman" w:hAnsi="Times New Roman" w:eastAsia="宋体"/>
      <w:kern w:val="2"/>
      <w:sz w:val="21"/>
      <w:szCs w:val="18"/>
    </w:rPr>
  </w:style>
  <w:style w:type="character" w:customStyle="1" w:styleId="59">
    <w:name w:val="页眉 字符"/>
    <w:autoRedefine/>
    <w:qFormat/>
    <w:uiPriority w:val="99"/>
    <w:rPr>
      <w:sz w:val="18"/>
      <w:szCs w:val="18"/>
    </w:rPr>
  </w:style>
  <w:style w:type="character" w:customStyle="1" w:styleId="60">
    <w:name w:val="页脚 字符"/>
    <w:autoRedefine/>
    <w:qFormat/>
    <w:uiPriority w:val="99"/>
    <w:rPr>
      <w:sz w:val="18"/>
      <w:szCs w:val="18"/>
    </w:rPr>
  </w:style>
  <w:style w:type="character" w:customStyle="1" w:styleId="61">
    <w:name w:val="fontstyle01"/>
    <w:basedOn w:val="22"/>
    <w:autoRedefine/>
    <w:qFormat/>
    <w:uiPriority w:val="0"/>
    <w:rPr>
      <w:rFonts w:hint="eastAsia" w:ascii="宋体" w:hAnsi="宋体" w:eastAsia="宋体"/>
      <w:color w:val="000000"/>
      <w:sz w:val="32"/>
      <w:szCs w:val="32"/>
    </w:rPr>
  </w:style>
  <w:style w:type="character" w:customStyle="1" w:styleId="62">
    <w:name w:val="fontstyle21"/>
    <w:basedOn w:val="22"/>
    <w:autoRedefine/>
    <w:qFormat/>
    <w:uiPriority w:val="0"/>
    <w:rPr>
      <w:rFonts w:hint="eastAsia" w:ascii="黑体" w:hAnsi="黑体" w:eastAsia="黑体"/>
      <w:color w:val="000000"/>
      <w:sz w:val="32"/>
      <w:szCs w:val="32"/>
    </w:rPr>
  </w:style>
  <w:style w:type="paragraph" w:styleId="63">
    <w:name w:val="List Paragraph"/>
    <w:basedOn w:val="1"/>
    <w:qFormat/>
    <w:uiPriority w:val="99"/>
    <w:pPr>
      <w:ind w:firstLine="0" w:firstLineChars="0"/>
      <w:jc w:val="center"/>
    </w:pPr>
    <w:rPr>
      <w:rFonts w:eastAsia="黑体"/>
    </w:rPr>
  </w:style>
  <w:style w:type="paragraph" w:customStyle="1" w:styleId="64">
    <w:name w:val="_Style 56"/>
    <w:basedOn w:val="1"/>
    <w:next w:val="63"/>
    <w:autoRedefine/>
    <w:qFormat/>
    <w:uiPriority w:val="1"/>
    <w:pPr>
      <w:ind w:firstLine="0" w:firstLineChars="0"/>
      <w:jc w:val="center"/>
    </w:pPr>
    <w:rPr>
      <w:rFonts w:eastAsia="黑体"/>
    </w:rPr>
  </w:style>
  <w:style w:type="paragraph" w:customStyle="1" w:styleId="65">
    <w:name w:val="段"/>
    <w:link w:val="66"/>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66">
    <w:name w:val="段 Char"/>
    <w:link w:val="65"/>
    <w:autoRedefine/>
    <w:qFormat/>
    <w:uiPriority w:val="0"/>
    <w:rPr>
      <w:rFonts w:ascii="宋体" w:hAnsi="Times New Roman"/>
      <w:sz w:val="21"/>
    </w:rPr>
  </w:style>
  <w:style w:type="paragraph" w:customStyle="1" w:styleId="67">
    <w:name w:val="注："/>
    <w:next w:val="65"/>
    <w:autoRedefine/>
    <w:qFormat/>
    <w:uiPriority w:val="0"/>
    <w:pPr>
      <w:widowControl w:val="0"/>
      <w:numPr>
        <w:ilvl w:val="0"/>
        <w:numId w:val="1"/>
      </w:numPr>
      <w:tabs>
        <w:tab w:val="clear" w:pos="1140"/>
      </w:tabs>
      <w:autoSpaceDE w:val="0"/>
      <w:autoSpaceDN w:val="0"/>
      <w:jc w:val="both"/>
    </w:pPr>
    <w:rPr>
      <w:rFonts w:ascii="宋体" w:hAnsi="Times New Roman" w:eastAsia="宋体" w:cs="Times New Roman"/>
      <w:sz w:val="18"/>
      <w:lang w:val="en-US" w:eastAsia="zh-CN" w:bidi="ar-SA"/>
    </w:rPr>
  </w:style>
  <w:style w:type="paragraph" w:customStyle="1" w:styleId="68">
    <w:name w:val="标准正文"/>
    <w:basedOn w:val="9"/>
    <w:autoRedefine/>
    <w:qFormat/>
    <w:uiPriority w:val="1"/>
    <w:pPr>
      <w:spacing w:before="8" w:line="273" w:lineRule="auto"/>
      <w:ind w:firstLine="420"/>
    </w:pPr>
    <w:rPr>
      <w:rFonts w:ascii="Times New Roman" w:hAnsi="Times New Roman"/>
      <w:spacing w:val="-4"/>
      <w:lang w:eastAsia="zh-CN"/>
    </w:rPr>
  </w:style>
  <w:style w:type="paragraph" w:customStyle="1" w:styleId="69">
    <w:name w:val="一级标题"/>
    <w:basedOn w:val="9"/>
    <w:autoRedefine/>
    <w:qFormat/>
    <w:uiPriority w:val="1"/>
    <w:pPr>
      <w:tabs>
        <w:tab w:val="left" w:pos="433"/>
      </w:tabs>
      <w:spacing w:before="36"/>
      <w:outlineLvl w:val="0"/>
    </w:pPr>
    <w:rPr>
      <w:rFonts w:ascii="Times New Roman" w:hAnsi="Times New Roman" w:eastAsia="黑体"/>
      <w:lang w:eastAsia="zh-CN"/>
    </w:rPr>
  </w:style>
  <w:style w:type="paragraph" w:customStyle="1" w:styleId="70">
    <w:name w:val="二级标题"/>
    <w:basedOn w:val="63"/>
    <w:qFormat/>
    <w:uiPriority w:val="1"/>
    <w:pPr>
      <w:tabs>
        <w:tab w:val="left" w:pos="645"/>
        <w:tab w:val="left" w:pos="2115"/>
      </w:tabs>
      <w:spacing w:before="50" w:beforeLines="50" w:after="50" w:afterLines="50"/>
      <w:ind w:right="108"/>
      <w:outlineLvl w:val="1"/>
    </w:pPr>
    <w:rPr>
      <w:spacing w:val="-1"/>
      <w:sz w:val="21"/>
      <w:szCs w:val="21"/>
    </w:rPr>
  </w:style>
  <w:style w:type="paragraph" w:customStyle="1" w:styleId="71">
    <w:name w:val="标准正文-1"/>
    <w:basedOn w:val="9"/>
    <w:autoRedefine/>
    <w:qFormat/>
    <w:uiPriority w:val="1"/>
    <w:pPr>
      <w:spacing w:line="256" w:lineRule="auto"/>
      <w:ind w:right="106" w:firstLine="420"/>
      <w:jc w:val="both"/>
    </w:pPr>
    <w:rPr>
      <w:rFonts w:ascii="Times New Roman" w:hAnsi="Times New Roman"/>
      <w:lang w:eastAsia="zh-CN"/>
    </w:rPr>
  </w:style>
  <w:style w:type="paragraph" w:customStyle="1" w:styleId="72">
    <w:name w:val="三级标题"/>
    <w:basedOn w:val="70"/>
    <w:autoRedefine/>
    <w:qFormat/>
    <w:uiPriority w:val="1"/>
    <w:pPr>
      <w:outlineLvl w:val="2"/>
    </w:pPr>
  </w:style>
  <w:style w:type="paragraph" w:customStyle="1" w:styleId="73">
    <w:name w:val="指南正文"/>
    <w:basedOn w:val="1"/>
    <w:autoRedefine/>
    <w:qFormat/>
    <w:uiPriority w:val="0"/>
    <w:pPr>
      <w:autoSpaceDE w:val="0"/>
      <w:autoSpaceDN w:val="0"/>
      <w:adjustRightInd w:val="0"/>
      <w:ind w:firstLine="480"/>
    </w:pPr>
    <w:rPr>
      <w:rFonts w:eastAsia="仿宋_GB2312"/>
      <w:szCs w:val="24"/>
    </w:rPr>
  </w:style>
  <w:style w:type="character" w:customStyle="1" w:styleId="74">
    <w:name w:val="指南一级 Char"/>
    <w:link w:val="75"/>
    <w:autoRedefine/>
    <w:qFormat/>
    <w:uiPriority w:val="0"/>
    <w:rPr>
      <w:rFonts w:eastAsia="仿宋_GB2312"/>
      <w:sz w:val="28"/>
      <w:lang w:eastAsia="zh-CN"/>
    </w:rPr>
  </w:style>
  <w:style w:type="paragraph" w:customStyle="1" w:styleId="75">
    <w:name w:val="指南一级"/>
    <w:basedOn w:val="2"/>
    <w:link w:val="74"/>
    <w:autoRedefine/>
    <w:qFormat/>
    <w:uiPriority w:val="0"/>
    <w:pPr>
      <w:spacing w:before="0" w:after="0"/>
    </w:pPr>
    <w:rPr>
      <w:rFonts w:eastAsia="仿宋_GB2312"/>
      <w:bCs w:val="0"/>
      <w:sz w:val="28"/>
    </w:rPr>
  </w:style>
  <w:style w:type="character" w:customStyle="1" w:styleId="76">
    <w:name w:val="radio-btn"/>
    <w:basedOn w:val="22"/>
    <w:autoRedefine/>
    <w:qFormat/>
    <w:uiPriority w:val="0"/>
    <w:rPr>
      <w:sz w:val="21"/>
      <w:szCs w:val="21"/>
    </w:rPr>
  </w:style>
  <w:style w:type="character" w:customStyle="1" w:styleId="77">
    <w:name w:val="radio-btn1"/>
    <w:basedOn w:val="22"/>
    <w:autoRedefine/>
    <w:qFormat/>
    <w:uiPriority w:val="0"/>
    <w:rPr>
      <w:sz w:val="24"/>
      <w:szCs w:val="24"/>
    </w:rPr>
  </w:style>
  <w:style w:type="character" w:customStyle="1" w:styleId="78">
    <w:name w:val="radio-btn2"/>
    <w:basedOn w:val="22"/>
    <w:autoRedefine/>
    <w:qFormat/>
    <w:uiPriority w:val="0"/>
    <w:rPr>
      <w:sz w:val="24"/>
      <w:szCs w:val="24"/>
    </w:rPr>
  </w:style>
  <w:style w:type="character" w:customStyle="1" w:styleId="79">
    <w:name w:val="lable"/>
    <w:basedOn w:val="22"/>
    <w:autoRedefine/>
    <w:qFormat/>
    <w:uiPriority w:val="0"/>
    <w:rPr>
      <w:sz w:val="24"/>
      <w:szCs w:val="24"/>
    </w:rPr>
  </w:style>
  <w:style w:type="character" w:customStyle="1" w:styleId="80">
    <w:name w:val="lishishuju"/>
    <w:basedOn w:val="22"/>
    <w:autoRedefine/>
    <w:qFormat/>
    <w:uiPriority w:val="0"/>
    <w:rPr>
      <w:b/>
      <w:bCs/>
      <w:color w:val="000052"/>
      <w:sz w:val="24"/>
      <w:szCs w:val="24"/>
      <w:bdr w:val="single" w:color="E3E3E3" w:sz="6" w:space="0"/>
    </w:rPr>
  </w:style>
  <w:style w:type="character" w:customStyle="1" w:styleId="81">
    <w:name w:val="znspantitle"/>
    <w:basedOn w:val="22"/>
    <w:autoRedefine/>
    <w:qFormat/>
    <w:uiPriority w:val="0"/>
    <w:rPr>
      <w:b/>
      <w:bCs/>
      <w:color w:val="333333"/>
    </w:rPr>
  </w:style>
  <w:style w:type="character" w:customStyle="1" w:styleId="82">
    <w:name w:val="cur1"/>
    <w:basedOn w:val="22"/>
    <w:autoRedefine/>
    <w:qFormat/>
    <w:uiPriority w:val="0"/>
    <w:rPr>
      <w:color w:val="FFFFFF"/>
      <w:shd w:val="clear" w:color="auto" w:fill="2F6B98"/>
    </w:rPr>
  </w:style>
  <w:style w:type="paragraph" w:customStyle="1" w:styleId="83">
    <w:name w:val="图用行距"/>
    <w:basedOn w:val="1"/>
    <w:autoRedefine/>
    <w:qFormat/>
    <w:uiPriority w:val="0"/>
    <w:pPr>
      <w:keepNext/>
      <w:spacing w:beforeLines="50" w:line="480" w:lineRule="atLeast"/>
      <w:ind w:firstLine="0"/>
      <w:jc w:val="center"/>
    </w:pPr>
    <w:rPr>
      <w:color w:val="000000"/>
    </w:rPr>
  </w:style>
  <w:style w:type="paragraph" w:customStyle="1" w:styleId="84">
    <w:name w:val="报告正文"/>
    <w:basedOn w:val="1"/>
    <w:autoRedefine/>
    <w:qFormat/>
    <w:uiPriority w:val="0"/>
  </w:style>
  <w:style w:type="paragraph" w:customStyle="1" w:styleId="85">
    <w:name w:val="表题注"/>
    <w:basedOn w:val="1"/>
    <w:autoRedefine/>
    <w:qFormat/>
    <w:uiPriority w:val="0"/>
    <w:rPr>
      <w:rFonts w:ascii="黑体" w:eastAsia="黑体"/>
    </w:rPr>
  </w:style>
  <w:style w:type="paragraph" w:customStyle="1" w:styleId="86">
    <w:name w:val="表格字体"/>
    <w:basedOn w:val="1"/>
    <w:autoRedefine/>
    <w:qFormat/>
    <w:uiPriority w:val="0"/>
    <w:pPr>
      <w:adjustRightInd w:val="0"/>
      <w:spacing w:line="240" w:lineRule="atLeast"/>
      <w:ind w:firstLine="0"/>
      <w:jc w:val="center"/>
    </w:pPr>
    <w:rPr>
      <w:color w:val="000000"/>
      <w:sz w:val="20"/>
    </w:rPr>
  </w:style>
  <w:style w:type="paragraph" w:customStyle="1" w:styleId="87">
    <w:name w:val="表单位"/>
    <w:basedOn w:val="1"/>
    <w:autoRedefine/>
    <w:qFormat/>
    <w:uiPriority w:val="0"/>
    <w:pPr>
      <w:topLinePunct/>
      <w:adjustRightInd w:val="0"/>
      <w:spacing w:after="40" w:line="270" w:lineRule="exact"/>
      <w:ind w:right="284" w:firstLine="0" w:firstLineChars="0"/>
      <w:jc w:val="right"/>
    </w:pPr>
    <w:rPr>
      <w:kern w:val="21"/>
      <w:sz w:val="18"/>
      <w:szCs w:val="20"/>
    </w:rPr>
  </w:style>
  <w:style w:type="paragraph" w:customStyle="1" w:styleId="88">
    <w:name w:val="WPSOffice手动目录 1"/>
    <w:autoRedefine/>
    <w:qFormat/>
    <w:uiPriority w:val="0"/>
    <w:rPr>
      <w:rFonts w:ascii="Times New Roman" w:hAnsi="Times New Roman" w:eastAsia="宋体" w:cs="Times New Roman"/>
      <w:lang w:val="en-US" w:eastAsia="zh-CN" w:bidi="ar-SA"/>
    </w:rPr>
  </w:style>
  <w:style w:type="paragraph" w:customStyle="1" w:styleId="89">
    <w:name w:val="WPSOffice手动目录 2"/>
    <w:autoRedefine/>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chart" Target="charts/chart5.xml"/><Relationship Id="rId16" Type="http://schemas.openxmlformats.org/officeDocument/2006/relationships/chart" Target="charts/chart4.xml"/><Relationship Id="rId15" Type="http://schemas.openxmlformats.org/officeDocument/2006/relationships/chart" Target="charts/chart3.xml"/><Relationship Id="rId14" Type="http://schemas.openxmlformats.org/officeDocument/2006/relationships/chart" Target="charts/chart2.xml"/><Relationship Id="rId13" Type="http://schemas.openxmlformats.org/officeDocument/2006/relationships/chart" Target="charts/chart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E:\2023&#24180;\&#31435;&#39033;\2022&#24180;&#22522;&#34920;&#26597;&#35810;&#24037;&#19994;&#20225;&#19994;&#27745;&#26579;&#29289;&#21644;&#28201;&#23460;&#27668;&#20307;&#25490;&#25918;&#21450;&#27835;&#29702;&#24773;&#20917;(voc.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2023&#24180;\&#31435;&#39033;\2021&#24180;&#22522;&#34920;&#26597;&#35810;&#24037;&#19994;&#20225;&#19994;&#27745;&#26579;&#29289;&#21644;&#28201;&#23460;&#27668;&#20307;&#25490;&#25918;&#21450;&#27835;&#29702;&#24773;&#20917;(&#22522;101&#34920;)20230306085748.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E:\2023&#24180;\&#31435;&#39033;\2022&#24180;&#22522;&#34920;&#26597;&#35810;&#24037;&#19994;&#20225;&#19994;&#27745;&#26579;&#29289;&#21644;&#28201;&#23460;&#27668;&#20307;&#25490;&#25918;&#21450;&#27835;&#29702;&#24773;&#20917;(voc.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E:\2023&#24180;\&#31435;&#39033;\&#34920;&#38754;&#28034;&#35013;&#32534;&#21046;&#35828;&#26126;&#21644;&#25991;&#26412;\&#26032;&#24314;%20XLS%20&#24037;&#20316;&#34920;.xls"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E:\2023&#24180;\&#31435;&#39033;\2021&#24180;&#22522;&#34920;&#26597;&#35810;&#24037;&#19994;&#20225;&#19994;&#27745;&#26579;&#29289;&#21644;&#28201;&#23460;&#27668;&#20307;&#25490;&#25918;&#21450;&#27835;&#29702;&#24773;&#20917;(&#22522;101&#34920;)2023030608574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Lbls>
            <c:dLbl>
              <c:idx val="2"/>
              <c:layout>
                <c:manualLayout>
                  <c:x val="0.206705247933135"/>
                  <c:y val="0.0507671651858571"/>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3"/>
              <c:layout>
                <c:manualLayout>
                  <c:x val="0.164958760384661"/>
                  <c:y val="0.0717440543706463"/>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4"/>
              <c:layout>
                <c:manualLayout>
                  <c:x val="0.0585195303158244"/>
                  <c:y val="0.0965474768654"/>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5"/>
              <c:layout>
                <c:manualLayout>
                  <c:x val="0.285233238697942"/>
                  <c:y val="0.126049939823338"/>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6"/>
              <c:layout>
                <c:manualLayout>
                  <c:x val="-0.0569635919595547"/>
                  <c:y val="0"/>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6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ctr"/>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'[2022年基表查询工业企业污染物和温室气体排放及治理情况(voc.xlsx]Sheet2'!$F$12:$F$18</c:f>
              <c:strCache>
                <c:ptCount val="7"/>
                <c:pt idx="0">
                  <c:v>家具制造业（C21）</c:v>
                </c:pt>
                <c:pt idx="1">
                  <c:v>金属制品业（C33）</c:v>
                </c:pt>
                <c:pt idx="2">
                  <c:v>通用设备制造业(C34)</c:v>
                </c:pt>
                <c:pt idx="3">
                  <c:v>专用设备制造业(C35)</c:v>
                </c:pt>
                <c:pt idx="4">
                  <c:v>汽车制造业(C36)</c:v>
                </c:pt>
                <c:pt idx="5">
                  <c:v>铁路、船舶、航空航天和其他运输设备制造业(C37)</c:v>
                </c:pt>
                <c:pt idx="6">
                  <c:v>金属制品、机械和设备修理业（C43）</c:v>
                </c:pt>
              </c:strCache>
            </c:strRef>
          </c:cat>
          <c:val>
            <c:numRef>
              <c:f>'[2022年基表查询工业企业污染物和温室气体排放及治理情况(voc.xlsx]Sheet2'!$G$12:$G$18</c:f>
              <c:numCache>
                <c:formatCode>General</c:formatCode>
                <c:ptCount val="7"/>
                <c:pt idx="0">
                  <c:v>1180</c:v>
                </c:pt>
                <c:pt idx="1">
                  <c:v>354</c:v>
                </c:pt>
                <c:pt idx="2">
                  <c:v>136</c:v>
                </c:pt>
                <c:pt idx="3">
                  <c:v>107</c:v>
                </c:pt>
                <c:pt idx="4">
                  <c:v>158</c:v>
                </c:pt>
                <c:pt idx="5">
                  <c:v>57</c:v>
                </c:pt>
                <c:pt idx="6">
                  <c:v>69</c:v>
                </c:pt>
              </c:numCache>
            </c:numRef>
          </c:val>
        </c:ser>
        <c:ser>
          <c:idx val="1"/>
          <c:order val="1"/>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Lbls>
            <c:delete val="1"/>
          </c:dLbls>
          <c:cat>
            <c:strRef>
              <c:f>'[2022年基表查询工业企业污染物和温室气体排放及治理情况(voc.xlsx]Sheet2'!$F$12:$F$18</c:f>
              <c:strCache>
                <c:ptCount val="7"/>
                <c:pt idx="0">
                  <c:v>家具制造业（C21）</c:v>
                </c:pt>
                <c:pt idx="1">
                  <c:v>金属制品业（C33）</c:v>
                </c:pt>
                <c:pt idx="2">
                  <c:v>通用设备制造业(C34)</c:v>
                </c:pt>
                <c:pt idx="3">
                  <c:v>专用设备制造业(C35)</c:v>
                </c:pt>
                <c:pt idx="4">
                  <c:v>汽车制造业(C36)</c:v>
                </c:pt>
                <c:pt idx="5">
                  <c:v>铁路、船舶、航空航天和其他运输设备制造业(C37)</c:v>
                </c:pt>
                <c:pt idx="6">
                  <c:v>金属制品、机械和设备修理业（C43）</c:v>
                </c:pt>
              </c:strCache>
            </c:strRef>
          </c:cat>
          <c:val>
            <c:numRef>
              <c:f>'[2022年基表查询工业企业污染物和温室气体排放及治理情况(voc.xlsx]Sheet2'!$H$12:$H$18</c:f>
              <c:numCache>
                <c:formatCode>0.00%</c:formatCode>
                <c:ptCount val="7"/>
                <c:pt idx="0">
                  <c:v>0.5725</c:v>
                </c:pt>
                <c:pt idx="1">
                  <c:v>0.1718</c:v>
                </c:pt>
                <c:pt idx="2">
                  <c:v>0.066</c:v>
                </c:pt>
                <c:pt idx="3">
                  <c:v>0.0519</c:v>
                </c:pt>
                <c:pt idx="4">
                  <c:v>0.0767</c:v>
                </c:pt>
                <c:pt idx="5">
                  <c:v>0.0277</c:v>
                </c:pt>
                <c:pt idx="6">
                  <c:v>0.0335</c:v>
                </c:pt>
              </c:numCache>
            </c:numRef>
          </c:val>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extLst>
      <c:ext uri="{0b15fc19-7d7d-44ad-8c2d-2c3a37ce22c3}">
        <chartProps xmlns="https://web.wps.cn/et/2018/main" chartId="{a02fd7e8-7782-4f7e-aa7c-fe8ee9eb2101}"/>
      </c:ext>
    </c:extLst>
  </c:chart>
  <c:spPr>
    <a:solidFill>
      <a:schemeClr val="bg1"/>
    </a:solidFill>
    <a:ln w="9525" cap="flat" cmpd="sng" algn="ctr">
      <a:noFill/>
      <a:round/>
    </a:ln>
    <a:effectLst/>
  </c:spPr>
  <c:txPr>
    <a:bodyPr/>
    <a:lstStyle/>
    <a:p>
      <a:pPr>
        <a:defRPr lang="zh-CN" sz="800">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pie3DChart>
        <c:varyColors val="1"/>
        <c:ser>
          <c:idx val="0"/>
          <c:order val="0"/>
          <c:explosion val="0"/>
          <c:dPt>
            <c:idx val="0"/>
            <c:bubble3D val="0"/>
            <c:spPr>
              <a:gradFill>
                <a:gsLst>
                  <a:gs pos="0">
                    <a:srgbClr val="FE4444"/>
                  </a:gs>
                  <a:gs pos="100000">
                    <a:srgbClr val="832B2B"/>
                  </a:gs>
                </a:gsLst>
                <a:lin ang="5400000" scaled="0"/>
              </a:gradFill>
              <a:ln w="25400">
                <a:solidFill>
                  <a:schemeClr val="lt1"/>
                </a:solidFill>
              </a:ln>
              <a:effectLst/>
            </c:spPr>
          </c:dPt>
          <c:dPt>
            <c:idx val="1"/>
            <c:bubble3D val="0"/>
            <c:spPr>
              <a:solidFill>
                <a:schemeClr val="accent2"/>
              </a:solidFill>
              <a:ln w="25400">
                <a:solidFill>
                  <a:schemeClr val="lt1"/>
                </a:solidFill>
              </a:ln>
              <a:effectLst/>
            </c:spPr>
          </c:dPt>
          <c:dPt>
            <c:idx val="2"/>
            <c:bubble3D val="0"/>
            <c:spPr>
              <a:gradFill>
                <a:gsLst>
                  <a:gs pos="0">
                    <a:srgbClr val="007BD3"/>
                  </a:gs>
                  <a:gs pos="100000">
                    <a:srgbClr val="034373"/>
                  </a:gs>
                </a:gsLst>
                <a:lin ang="5400000" scaled="0"/>
              </a:gradFill>
              <a:ln w="25400">
                <a:solidFill>
                  <a:schemeClr val="lt1"/>
                </a:solidFill>
              </a:ln>
              <a:effectLst/>
            </c:spPr>
          </c:dPt>
          <c:dPt>
            <c:idx val="3"/>
            <c:bubble3D val="0"/>
            <c:spPr>
              <a:solidFill>
                <a:srgbClr val="020AB4"/>
              </a:solidFill>
              <a:ln w="25400">
                <a:solidFill>
                  <a:schemeClr val="lt1"/>
                </a:solidFill>
              </a:ln>
              <a:effectLst/>
            </c:spPr>
          </c:dPt>
          <c:dPt>
            <c:idx val="4"/>
            <c:bubble3D val="0"/>
            <c:spPr>
              <a:solidFill>
                <a:schemeClr val="accent5"/>
              </a:solidFill>
              <a:ln w="25400">
                <a:solidFill>
                  <a:schemeClr val="lt1"/>
                </a:solidFill>
              </a:ln>
              <a:effectLst/>
            </c:spPr>
          </c:dPt>
          <c:dPt>
            <c:idx val="5"/>
            <c:bubble3D val="0"/>
            <c:spPr>
              <a:solidFill>
                <a:schemeClr val="accent6"/>
              </a:solidFill>
              <a:ln w="25400">
                <a:solidFill>
                  <a:schemeClr val="lt1"/>
                </a:solidFill>
              </a:ln>
              <a:effectLst/>
            </c:spPr>
          </c:dPt>
          <c:dPt>
            <c:idx val="6"/>
            <c:bubble3D val="0"/>
            <c:spPr>
              <a:solidFill>
                <a:schemeClr val="accent1">
                  <a:lumMod val="60000"/>
                </a:schemeClr>
              </a:solidFill>
              <a:ln w="25400">
                <a:solidFill>
                  <a:schemeClr val="lt1"/>
                </a:solidFill>
              </a:ln>
              <a:effectLst/>
            </c:spPr>
          </c:dPt>
          <c:dPt>
            <c:idx val="7"/>
            <c:bubble3D val="0"/>
            <c:spPr>
              <a:solidFill>
                <a:schemeClr val="accent2">
                  <a:lumMod val="60000"/>
                </a:schemeClr>
              </a:solidFill>
              <a:ln w="25400">
                <a:solidFill>
                  <a:schemeClr val="lt1"/>
                </a:solidFill>
              </a:ln>
              <a:effectLst/>
            </c:spPr>
          </c:dPt>
          <c:dPt>
            <c:idx val="8"/>
            <c:bubble3D val="0"/>
            <c:spPr>
              <a:solidFill>
                <a:schemeClr val="accent3">
                  <a:lumMod val="60000"/>
                </a:schemeClr>
              </a:solidFill>
              <a:ln w="25400">
                <a:solidFill>
                  <a:schemeClr val="lt1"/>
                </a:solidFill>
              </a:ln>
              <a:effectLst/>
            </c:spPr>
          </c:dPt>
          <c:dPt>
            <c:idx val="9"/>
            <c:bubble3D val="0"/>
            <c:spPr>
              <a:gradFill>
                <a:gsLst>
                  <a:gs pos="0">
                    <a:srgbClr val="FECF40"/>
                  </a:gs>
                  <a:gs pos="100000">
                    <a:srgbClr val="846C21"/>
                  </a:gs>
                </a:gsLst>
                <a:lin ang="5400000" scaled="0"/>
              </a:gradFill>
              <a:ln w="25400">
                <a:solidFill>
                  <a:schemeClr val="lt1"/>
                </a:solidFill>
              </a:ln>
              <a:effectLst/>
            </c:spPr>
          </c:dPt>
          <c:dPt>
            <c:idx val="10"/>
            <c:bubble3D val="0"/>
            <c:spPr>
              <a:solidFill>
                <a:srgbClr val="7030A0"/>
              </a:solidFill>
              <a:ln w="25400">
                <a:solidFill>
                  <a:schemeClr val="lt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'[2021年基表查询工业企业污染物和温室气体排放及治理情况(基101表)20230306085748.xlsx]Sheet1'!$D$32:$D$42</c:f>
              <c:strCache>
                <c:ptCount val="11"/>
                <c:pt idx="0">
                  <c:v>抚州</c:v>
                </c:pt>
                <c:pt idx="1">
                  <c:v>鹰潭</c:v>
                </c:pt>
                <c:pt idx="2">
                  <c:v>宜春</c:v>
                </c:pt>
                <c:pt idx="3">
                  <c:v>九江</c:v>
                </c:pt>
                <c:pt idx="4">
                  <c:v>赣州</c:v>
                </c:pt>
                <c:pt idx="5">
                  <c:v>萍乡</c:v>
                </c:pt>
                <c:pt idx="6">
                  <c:v>新余</c:v>
                </c:pt>
                <c:pt idx="7">
                  <c:v>吉安</c:v>
                </c:pt>
                <c:pt idx="8">
                  <c:v>南昌</c:v>
                </c:pt>
                <c:pt idx="9">
                  <c:v>景德镇</c:v>
                </c:pt>
                <c:pt idx="10">
                  <c:v>上饶</c:v>
                </c:pt>
              </c:strCache>
            </c:strRef>
          </c:cat>
          <c:val>
            <c:numRef>
              <c:f>'[2021年基表查询工业企业污染物和温室气体排放及治理情况(基101表)20230306085748.xlsx]Sheet1'!$E$32:$E$42</c:f>
              <c:numCache>
                <c:formatCode>General</c:formatCode>
                <c:ptCount val="11"/>
                <c:pt idx="0">
                  <c:v>160</c:v>
                </c:pt>
                <c:pt idx="1">
                  <c:v>32</c:v>
                </c:pt>
                <c:pt idx="2">
                  <c:v>139</c:v>
                </c:pt>
                <c:pt idx="3">
                  <c:v>108</c:v>
                </c:pt>
                <c:pt idx="4">
                  <c:v>1123</c:v>
                </c:pt>
                <c:pt idx="5">
                  <c:v>89</c:v>
                </c:pt>
                <c:pt idx="6">
                  <c:v>80</c:v>
                </c:pt>
                <c:pt idx="7">
                  <c:v>169</c:v>
                </c:pt>
                <c:pt idx="8">
                  <c:v>186</c:v>
                </c:pt>
                <c:pt idx="9">
                  <c:v>39</c:v>
                </c:pt>
                <c:pt idx="10">
                  <c:v>241</c:v>
                </c:pt>
              </c:numCache>
            </c:numRef>
          </c:val>
        </c:ser>
        <c:dLbls>
          <c:showLegendKey val="0"/>
          <c:showVal val="0"/>
          <c:showCatName val="1"/>
          <c:showSerName val="0"/>
          <c:showPercent val="1"/>
          <c:showBubbleSize val="0"/>
        </c:dLbls>
      </c:pie3DChart>
      <c:spPr>
        <a:noFill/>
        <a:ln>
          <a:noFill/>
        </a:ln>
        <a:effectLst/>
      </c:spPr>
    </c:plotArea>
    <c:plotVisOnly val="1"/>
    <c:dispBlanksAs val="gap"/>
    <c:showDLblsOverMax val="0"/>
    <c:extLst>
      <c:ext uri="{0b15fc19-7d7d-44ad-8c2d-2c3a37ce22c3}">
        <chartProps xmlns="https://web.wps.cn/et/2018/main" chartId="{5d93dc90-4fe2-4514-9b78-88dc2b14ba74}"/>
      </c:ext>
    </c:extLst>
  </c:chart>
  <c:spPr>
    <a:solidFill>
      <a:schemeClr val="bg1"/>
    </a:solidFill>
    <a:ln w="9525" cap="flat" cmpd="sng" algn="ctr">
      <a:noFill/>
      <a:prstDash val="solid"/>
      <a:round/>
    </a:ln>
    <a:effectLst/>
  </c:spPr>
  <c:txPr>
    <a:bodyPr/>
    <a:lstStyle/>
    <a:p>
      <a:pPr>
        <a:defRPr lang="zh-CN">
          <a:latin typeface="宋体" panose="02010600030101010101" charset="-122"/>
          <a:ea typeface="宋体" panose="02010600030101010101" charset="-122"/>
          <a:cs typeface="宋体" panose="02010600030101010101" charset="-122"/>
          <a:sym typeface="宋体" panose="02010600030101010101" charset="-12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manualLayout>
                  <c:x val="0.0621146117803506"/>
                  <c:y val="0"/>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'[2022年基表查询工业企业污染物和温室气体排放及治理情况(voc.xlsx]Sheet2'!$N$4:$N$7</c:f>
              <c:strCache>
                <c:ptCount val="4"/>
                <c:pt idx="0">
                  <c:v>大型</c:v>
                </c:pt>
                <c:pt idx="1">
                  <c:v>中型</c:v>
                </c:pt>
                <c:pt idx="2">
                  <c:v>小型</c:v>
                </c:pt>
                <c:pt idx="3">
                  <c:v>微型</c:v>
                </c:pt>
              </c:strCache>
            </c:strRef>
          </c:cat>
          <c:val>
            <c:numRef>
              <c:f>'[2022年基表查询工业企业污染物和温室气体排放及治理情况(voc.xlsx]Sheet2'!$O$4:$O$7</c:f>
              <c:numCache>
                <c:formatCode>General</c:formatCode>
                <c:ptCount val="4"/>
                <c:pt idx="0">
                  <c:v>27</c:v>
                </c:pt>
                <c:pt idx="1">
                  <c:v>786</c:v>
                </c:pt>
                <c:pt idx="2">
                  <c:v>1027</c:v>
                </c:pt>
                <c:pt idx="3">
                  <c:v>221</c:v>
                </c:pt>
              </c:numCache>
            </c:numRef>
          </c:val>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extLst>
      <c:ext uri="{0b15fc19-7d7d-44ad-8c2d-2c3a37ce22c3}">
        <chartProps xmlns="https://web.wps.cn/et/2018/main" chartId="{66fb2e96-2329-472a-9733-0284c5747b27}"/>
      </c:ext>
    </c:extLst>
  </c:chart>
  <c:spPr>
    <a:solidFill>
      <a:schemeClr val="bg1"/>
    </a:solidFill>
    <a:ln w="9525" cap="flat" cmpd="sng" algn="ctr">
      <a:noFill/>
      <a:round/>
    </a:ln>
    <a:effectLst/>
  </c:spPr>
  <c:txPr>
    <a:bodyPr/>
    <a:lstStyle/>
    <a:p>
      <a:pPr>
        <a:defRPr lang="zh-CN">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Lbls>
            <c:dLbl>
              <c:idx val="0"/>
              <c:layout>
                <c:manualLayout>
                  <c:x val="-0.172386272944932"/>
                  <c:y val="0.141674876847291"/>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0531296317409645"/>
                  <c:y val="-0.151330049261084"/>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manualLayout>
                  <c:x val="0.0102899762447283"/>
                  <c:y val="8.96053893372343e-17"/>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3"/>
              <c:layout>
                <c:manualLayout>
                  <c:x val="-0.0792270531400966"/>
                  <c:y val="0"/>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4"/>
              <c:layout>
                <c:manualLayout>
                  <c:x val="0.179569034317638"/>
                  <c:y val="-0.0447290640394089"/>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5"/>
              <c:layout>
                <c:manualLayout>
                  <c:x val="-0.129468599033817"/>
                  <c:y val="0.00246812011517899"/>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6"/>
              <c:layout>
                <c:manualLayout>
                  <c:x val="0.170907227760346"/>
                  <c:y val="0"/>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05107741420591"/>
                      <c:h val="0.15448275862069"/>
                    </c:manualLayout>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 XLS 工作表.xls]Sheet1'!$F$5:$F$11</c:f>
              <c:strCache>
                <c:ptCount val="7"/>
                <c:pt idx="0">
                  <c:v>家具制造业（C21）</c:v>
                </c:pt>
                <c:pt idx="1">
                  <c:v>金属制品业（C33）</c:v>
                </c:pt>
                <c:pt idx="2">
                  <c:v>通用设备制造业(C34)</c:v>
                </c:pt>
                <c:pt idx="3">
                  <c:v>专用设备制造业(C35)</c:v>
                </c:pt>
                <c:pt idx="4">
                  <c:v>汽车制造业(C36)</c:v>
                </c:pt>
                <c:pt idx="5">
                  <c:v>铁路、船舶、航空航天和其他运输设备制造业(C37)</c:v>
                </c:pt>
                <c:pt idx="6">
                  <c:v>金属制品、机械和设备修理业（C43）</c:v>
                </c:pt>
              </c:strCache>
            </c:strRef>
          </c:cat>
          <c:val>
            <c:numRef>
              <c:f>'[新建 XLS 工作表.xls]Sheet1'!$G$5:$G$11</c:f>
              <c:numCache>
                <c:formatCode>General</c:formatCode>
                <c:ptCount val="7"/>
                <c:pt idx="0">
                  <c:v>9587</c:v>
                </c:pt>
                <c:pt idx="1">
                  <c:v>4263</c:v>
                </c:pt>
                <c:pt idx="2">
                  <c:v>1258</c:v>
                </c:pt>
                <c:pt idx="3">
                  <c:v>1267</c:v>
                </c:pt>
                <c:pt idx="4">
                  <c:v>10239</c:v>
                </c:pt>
                <c:pt idx="5">
                  <c:v>1039</c:v>
                </c:pt>
                <c:pt idx="6">
                  <c:v>1051</c:v>
                </c:pt>
              </c:numCache>
            </c:numRef>
          </c:val>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extLst>
      <c:ext uri="{0b15fc19-7d7d-44ad-8c2d-2c3a37ce22c3}">
        <chartProps xmlns="https://web.wps.cn/et/2018/main" chartId="{3691edee-9d5a-4c73-80dd-98c917dc6a84}"/>
      </c:ext>
    </c:extLst>
  </c:chart>
  <c:spPr>
    <a:solidFill>
      <a:schemeClr val="bg1"/>
    </a:solidFill>
    <a:ln w="9525" cap="flat" cmpd="sng" algn="ctr">
      <a:noFill/>
      <a:round/>
    </a:ln>
    <a:effectLst/>
  </c:spPr>
  <c:txPr>
    <a:bodyPr/>
    <a:lstStyle/>
    <a:p>
      <a:pPr>
        <a:defRPr lang="zh-CN" sz="800">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Lbls>
            <c:dLbl>
              <c:idx val="0"/>
              <c:layout>
                <c:manualLayout>
                  <c:x val="0.0765874059765279"/>
                  <c:y val="0.0234301780693533"/>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5"/>
              <c:layout>
                <c:manualLayout>
                  <c:x val="-0.0519216153495692"/>
                  <c:y val="0.0203842549203374"/>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'[2021年基表查询工业企业污染物和温室气体排放及治理情况(基101表)20230306085748.xlsx]Sheet1'!$G$56:$G$62</c:f>
              <c:strCache>
                <c:ptCount val="7"/>
                <c:pt idx="0">
                  <c:v>焚烧法</c:v>
                </c:pt>
                <c:pt idx="1">
                  <c:v>水喷淋+活性炭吸附法</c:v>
                </c:pt>
                <c:pt idx="2">
                  <c:v>UV光氧</c:v>
                </c:pt>
                <c:pt idx="3">
                  <c:v>冷凝回收</c:v>
                </c:pt>
                <c:pt idx="4">
                  <c:v>UV光解+活性炭</c:v>
                </c:pt>
                <c:pt idx="5">
                  <c:v>低温等离子+活性炭</c:v>
                </c:pt>
                <c:pt idx="6">
                  <c:v>其它</c:v>
                </c:pt>
              </c:strCache>
            </c:strRef>
          </c:cat>
          <c:val>
            <c:numRef>
              <c:f>'[2021年基表查询工业企业污染物和温室气体排放及治理情况(基101表)20230306085748.xlsx]Sheet1'!$H$56:$H$62</c:f>
              <c:numCache>
                <c:formatCode>General</c:formatCode>
                <c:ptCount val="7"/>
                <c:pt idx="0">
                  <c:v>12</c:v>
                </c:pt>
                <c:pt idx="1">
                  <c:v>275</c:v>
                </c:pt>
                <c:pt idx="2">
                  <c:v>78</c:v>
                </c:pt>
                <c:pt idx="3">
                  <c:v>2</c:v>
                </c:pt>
                <c:pt idx="4">
                  <c:v>78</c:v>
                </c:pt>
                <c:pt idx="5">
                  <c:v>23</c:v>
                </c:pt>
                <c:pt idx="6">
                  <c:v>25</c:v>
                </c:pt>
              </c:numCache>
            </c:numRef>
          </c:val>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extLst>
      <c:ext uri="{0b15fc19-7d7d-44ad-8c2d-2c3a37ce22c3}">
        <chartProps xmlns="https://web.wps.cn/et/2018/main" chartId="{43bd183e-f70b-439c-a90c-f6ae530490cf}"/>
      </c:ext>
    </c:extLst>
  </c:chart>
  <c:spPr>
    <a:solidFill>
      <a:schemeClr val="bg1"/>
    </a:solidFill>
    <a:ln w="9525" cap="flat" cmpd="sng" algn="ctr">
      <a:noFill/>
      <a:round/>
    </a:ln>
    <a:effectLst/>
  </c:spPr>
  <c:txPr>
    <a:bodyPr/>
    <a:lstStyle/>
    <a:p>
      <a:pPr>
        <a:defRPr lang="zh-CN">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34</Pages>
  <Words>10513</Words>
  <Characters>12068</Characters>
  <Lines>158</Lines>
  <Paragraphs>44</Paragraphs>
  <TotalTime>0</TotalTime>
  <ScaleCrop>false</ScaleCrop>
  <LinksUpToDate>false</LinksUpToDate>
  <CharactersWithSpaces>12234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2018-10-05T09:30:00Z</dcterms:created>
  <dc:creator>微软中国</dc:creator>
  <cp:lastModifiedBy>陈星曈</cp:lastModifiedBy>
  <cp:lastPrinted>2024-11-06T04:27:00Z</cp:lastPrinted>
  <dcterms:modified xsi:type="dcterms:W3CDTF">2025-06-13T07:30:40Z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13150D9A48B04F3CA327EB50AE4DB99E_13</vt:lpwstr>
  </property>
  <property fmtid="{D5CDD505-2E9C-101B-9397-08002B2CF9AE}" pid="4" name="KSOTemplateDocerSaveRecord">
    <vt:lpwstr>eyJoZGlkIjoiNzhiMjFhNjIyYzE0ZWNjMWI5NjJlODEyYTM4NmRiY2EiLCJ1c2VySWQiOiIxMjEzNjU0MDg4In0=</vt:lpwstr>
  </property>
</Properties>
</file>